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מגישות: מרים ___________  והדיר ___________</w:t>
      </w:r>
    </w:p>
    <w:p>
      <w:pPr>
        <w:bidi w:val="1"/>
        <w:spacing w:line="360" w:lineRule="auto" w:after="120"/>
        <w:jc w:val="center"/>
      </w:pPr>
      <w:r>
        <w:rPr>
          <w:rFonts w:ascii="David" w:hAnsi="David" w:cs="David"/>
          <w:b w:val="0"/>
          <w:i w:val="0"/>
          <w:sz w:val="26"/>
          <w:szCs w:val="26"/>
          <w:rtl w:val="1"/>
        </w:rPr>
        <w:t>ת.ז: ___________  |  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כל אחת לקחה מהקורס</w:t>
      </w:r>
    </w:p>
    <w:p>
      <w:pPr>
        <w:bidi w:val="1"/>
        <w:spacing w:line="360" w:lineRule="auto" w:after="160"/>
        <w:jc w:val="right"/>
      </w:pPr>
      <w:r>
        <w:rPr>
          <w:rFonts w:ascii="David" w:hAnsi="David" w:cs="David"/>
          <w:b/>
          <w:i w:val="0"/>
          <w:sz w:val="26"/>
          <w:szCs w:val="26"/>
          <w:rtl w:val="1"/>
        </w:rPr>
        <w:t>מרים</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160"/>
        <w:jc w:val="right"/>
      </w:pPr>
      <w:r>
        <w:rPr>
          <w:rFonts w:ascii="David" w:hAnsi="David" w:cs="David"/>
          <w:b/>
          <w:i w:val="0"/>
          <w:sz w:val="26"/>
          <w:szCs w:val="26"/>
          <w:rtl w:val="1"/>
        </w:rPr>
        <w:t>הדיר</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תובנות משותפות</w:t>
      </w:r>
    </w:p>
    <w:p>
      <w:pPr>
        <w:bidi w:val="1"/>
        <w:spacing w:line="360" w:lineRule="auto" w:after="160"/>
        <w:jc w:val="both"/>
      </w:pPr>
      <w:r>
        <w:rPr>
          <w:rFonts w:ascii="David" w:hAnsi="David" w:cs="David"/>
          <w:b w:val="0"/>
          <w:i w:val="0"/>
          <w:sz w:val="24"/>
          <w:szCs w:val="24"/>
          <w:rtl w:val="1"/>
        </w:rPr>
        <w:t>התובנה הראשונה שאנחנו לוקחות מהקורס ביחד היא ששתינו נכנסנו אליו עם אותה הנחה, שהגנה היא כל התפקיד, ושתפקידנו מול אדם עם מוגבלות הוא בעיקר לשמור עליו מפני העולם. הקורס פירק לנו את ההנחה הזאת. למדנו שהסיכון כמעט אף פעם לא נולד בתוך האדם, אלא נוצר במפגש בינו לבין סביבה שאינה מותאמת, ובתלות שלו באנשים שאמורים לתמוך בו. זו נקודה שהגענו אליה משתי דרכים שונות והיא חיברה בינינו.</w:t>
      </w:r>
    </w:p>
    <w:p>
      <w:pPr>
        <w:bidi w:val="1"/>
        <w:spacing w:line="360" w:lineRule="auto" w:after="160"/>
        <w:jc w:val="both"/>
      </w:pPr>
      <w:r>
        <w:rPr>
          <w:rFonts w:ascii="David" w:hAnsi="David" w:cs="David"/>
          <w:b w:val="0"/>
          <w:i w:val="0"/>
          <w:sz w:val="24"/>
          <w:szCs w:val="24"/>
          <w:rtl w:val="1"/>
        </w:rPr>
        <w:t>העבודה המשותפת על המצגת "זה הילד שלי" ועל פרשת מעון בני ציון הפכה את זה למוחשי. כל אחת מאיתנו הסתכלה מזווית אחרת, מרים דרך המתח בין מוגנות לאוטונומיה והדיר דרך הפגיעוּת המגדרית ושתיקת הקורבן ה"שקוף", והגענו לאותה מסקנה. המסגרת שהייתה אמורה להגן הפכה בעצמה למקום של פגיעה, בין השאר משום שלא היו בה עיניים מבחוץ ולא היה קול לדיירים. גילינו שדווקא ההגנה הסגורה, זו שאין בה בחירה ואין בה שקיפות, היא שאפשרה את הפגיעה.</w:t>
      </w:r>
    </w:p>
    <w:p>
      <w:pPr>
        <w:bidi w:val="1"/>
        <w:spacing w:line="360" w:lineRule="auto" w:after="160"/>
        <w:jc w:val="both"/>
      </w:pPr>
      <w:r>
        <w:rPr>
          <w:rFonts w:ascii="David" w:hAnsi="David" w:cs="David"/>
          <w:b w:val="0"/>
          <w:i w:val="0"/>
          <w:sz w:val="24"/>
          <w:szCs w:val="24"/>
          <w:rtl w:val="1"/>
        </w:rPr>
        <w:t>שתינו יצאנו עם חשד בריא כלפי התשובה הקלה. הגנה שמשתיקה את מי שהיא אמורה לשמור עליו הופכת בעצמה לסיכון, וזה נכון גם לאדם עם אוטיזם שמחליטים במקומו וגם לאישה עם מוגבלות שלא מאמינים לה כשהיא מספרת. השאלה המשותפת שאנחנו לוקחות איתנו איננה עוד איך אנחנו שומרות על האדם, אלא איך אנחנו עוזרות לו לשמור על עצמו, איך אנחנו מכניסות ידע, קול ובחירה בדיוק למקומות שבהם הכי קל להיעלם.</w:t>
      </w:r>
    </w:p>
    <w:p>
      <w:pPr>
        <w:bidi w:val="1"/>
        <w:spacing w:line="360" w:lineRule="auto" w:after="160"/>
        <w:jc w:val="both"/>
      </w:pPr>
      <w:r>
        <w:rPr>
          <w:rFonts w:ascii="David" w:hAnsi="David" w:cs="David"/>
          <w:b w:val="0"/>
          <w:i w:val="0"/>
          <w:sz w:val="24"/>
          <w:szCs w:val="24"/>
          <w:rtl w:val="1"/>
        </w:rPr>
        <w:t>מעבר לתוכן, המסע המשותף לימד אותנו גם משהו על עצם העבודה בזוג. שתי נקודות מבט על אותו מקרה נתנו לנו תמונה שאף אחת מאיתנו לא הייתה מגיעה אליה לבד. אנחנו מסיימות את הקורס עם פחות ביטחון בתשובות מוחלטות, עם יותר שאלות פתוחות, ועם החלטה לשים לב דווקא למי שקל לפספס.</w:t>
      </w:r>
    </w:p>
    <w:p>
      <w:r>
        <w:br w:type="page"/>
      </w:r>
    </w:p>
    <w:p>
      <w:pPr>
        <w:bidi w:val="1"/>
        <w:spacing w:line="360" w:lineRule="auto" w:after="200"/>
        <w:jc w:val="right"/>
      </w:pPr>
      <w:r>
        <w:rPr>
          <w:rFonts w:ascii="David" w:hAnsi="David" w:cs="David"/>
          <w:b/>
          <w:i w:val="0"/>
          <w:sz w:val="28"/>
          <w:szCs w:val="28"/>
          <w:rtl w:val="1"/>
        </w:rPr>
        <w:t>חלק ג: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מוגבלות</w:t>
      </w:r>
    </w:p>
    <w:p>
      <w:pPr>
        <w:bidi w:val="1"/>
        <w:spacing w:line="360" w:lineRule="auto" w:after="160"/>
        <w:jc w:val="both"/>
      </w:pPr>
      <w:r>
        <w:rPr>
          <w:rFonts w:ascii="David" w:hAnsi="David" w:cs="David"/>
          <w:b w:val="0"/>
          <w:i w:val="0"/>
          <w:sz w:val="24"/>
          <w:szCs w:val="24"/>
          <w:rtl w:val="1"/>
        </w:rPr>
        <w:t>הנושא שבחרנו להעמיק בו צמח ישירות מהעבודה שלנו על מעון בני ציון, המתח בין החובה להגן על אדם עם מוגבלות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ושדווקא אנשים עם מוגבלות המלווה בקושי תקשורתי או קוגניטיבי חשופים יותר (Hughes et al., 2012). הקושי לתקשר את הפגיעה, לזהות אותה כפגיעה או להתלונן עליה הוא בדיוק מה שהופך אדם למטרה קלה, ולכן ההגנה כאן איננה מותרות אלא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למדנו לעצור. ההיגיון שאומר שהאדם אינו מסוגל להחליט ולכן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לנו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הוכחה ששני צדי המתח לא באמת עומדים זה מול זה, ושדווקא מי שחווים את המוגבלות מבפנים מבקשים הגנה שאינה באה על חשבון הקול שלהם.</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שהבחירה בין השתיים רחוקה מלהיות טכנית, ושהיא נשענת על עמדות עמוקות של אנשי המקצוע לגבי מסוגלות, סיכון ואחריות. הכותבות מציעות לעבור מברירת המחדל של אפוטרופסות, שמעבירה את מלוא ההחלטה לידי אחר,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w:t>
      </w:r>
    </w:p>
    <w:p>
      <w:pPr>
        <w:bidi w:val="1"/>
        <w:spacing w:line="360" w:lineRule="auto" w:after="160"/>
        <w:jc w:val="both"/>
      </w:pPr>
      <w:r>
        <w:rPr>
          <w:rFonts w:ascii="David" w:hAnsi="David" w:cs="David"/>
          <w:b w:val="0"/>
          <w:i w:val="0"/>
          <w:sz w:val="24"/>
          <w:szCs w:val="24"/>
          <w:rtl w:val="1"/>
        </w:rPr>
        <w:t>כשמצרפים את שלושת המקורות מתקבלת עמדה שאנחנו לוקחות איתנו.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אין קו ברור שמפריד בין השניים, וכל מקרה דורש שיקול דעת מחדש, שכן הכרעה שמתאימה לאדם אחד עלולה להיות שגויה עבור אחר. מבחינתנו המשמעות היא לבנות יחד עם האדם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אפוטרופסות וקבלת החלטות נתמכת בקרב אנשים עם מוגבלות.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