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240" w:lineRule="auto" w:after="0" w:before="0"/>
        <w:jc w:val="both"/>
      </w:pPr>
    </w:p>
    <w:p>
      <w:pPr>
        <w:bidi w:val="1"/>
        <w:spacing w:line="360" w:lineRule="auto" w:after="320" w:before="0"/>
        <w:jc w:val="center"/>
      </w:pPr>
      <w:r>
        <w:rPr>
          <w:rFonts w:ascii="David" w:hAnsi="David" w:cs="David"/>
          <w:b/>
          <w:bCs/>
          <w:sz w:val="32"/>
          <w:szCs w:val="32"/>
          <w:rtl/>
        </w:rPr>
        <w:t>עבודה מספר 2</w:t>
      </w:r>
    </w:p>
    <w:p>
      <w:pPr>
        <w:bidi w:val="1"/>
        <w:spacing w:line="360" w:lineRule="auto" w:after="120" w:before="0"/>
        <w:jc w:val="center"/>
      </w:pPr>
      <w:r>
        <w:rPr>
          <w:rFonts w:ascii="David" w:hAnsi="David" w:cs="David"/>
          <w:b/>
          <w:bCs/>
          <w:sz w:val="24"/>
          <w:szCs w:val="24"/>
          <w:rtl/>
        </w:rPr>
        <w:t>שאלת העבודה:</w:t>
      </w:r>
    </w:p>
    <w:p>
      <w:pPr>
        <w:bidi w:val="1"/>
        <w:spacing w:line="360" w:lineRule="auto" w:after="560" w:before="0"/>
        <w:jc w:val="center"/>
      </w:pPr>
      <w:r>
        <w:rPr>
          <w:rFonts w:ascii="David" w:hAnsi="David" w:cs="David"/>
          <w:b w:val="0"/>
          <w:sz w:val="24"/>
          <w:szCs w:val="24"/>
          <w:rtl/>
        </w:rPr>
        <w:t>תאר, בהתבסס על ספרות המחקר, את מעורבותן של האוכלוסייה היהודית והאוכלוסייה הערבית בתהליך העיור בארץ-ישראל בשלהי התקופה העות'מאנית, והצג נתונים כמותיים המבטאים את היקף השפעתן על הערים.</w:t>
      </w:r>
    </w:p>
    <w:p>
      <w:pPr>
        <w:bidi w:val="1"/>
        <w:spacing w:line="360" w:lineRule="auto" w:after="80" w:before="0"/>
        <w:jc w:val="center"/>
      </w:pPr>
      <w:r>
        <w:rPr>
          <w:rFonts w:ascii="David" w:hAnsi="David" w:cs="David"/>
          <w:b/>
          <w:bCs/>
          <w:sz w:val="24"/>
          <w:szCs w:val="24"/>
          <w:rtl/>
        </w:rPr>
        <w:t xml:space="preserve">שם הקורס: </w:t>
      </w:r>
      <w:r>
        <w:rPr>
          <w:rFonts w:ascii="David" w:hAnsi="David" w:cs="David"/>
          <w:b w:val="0"/>
          <w:sz w:val="24"/>
          <w:szCs w:val="24"/>
          <w:rtl/>
        </w:rPr>
        <w:t>ערים ועיור בשלהי התקופה העות'מאנית</w:t>
      </w:r>
    </w:p>
    <w:p>
      <w:pPr>
        <w:bidi w:val="1"/>
        <w:spacing w:line="360" w:lineRule="auto" w:after="80" w:before="0"/>
        <w:jc w:val="center"/>
      </w:pPr>
      <w:r>
        <w:rPr>
          <w:rFonts w:ascii="David" w:hAnsi="David" w:cs="David"/>
          <w:b/>
          <w:bCs/>
          <w:sz w:val="24"/>
          <w:szCs w:val="24"/>
          <w:rtl/>
        </w:rPr>
        <w:t xml:space="preserve">מספר הקורס: </w:t>
      </w:r>
      <w:r>
        <w:rPr>
          <w:rFonts w:ascii="David" w:hAnsi="David" w:cs="David"/>
          <w:b w:val="0"/>
          <w:sz w:val="24"/>
          <w:szCs w:val="24"/>
          <w:rtl/>
        </w:rPr>
        <w:t>16459</w:t>
      </w:r>
    </w:p>
    <w:p>
      <w:pPr>
        <w:bidi w:val="1"/>
        <w:spacing w:line="360" w:lineRule="auto" w:after="80" w:before="0"/>
        <w:jc w:val="center"/>
      </w:pPr>
      <w:r>
        <w:rPr>
          <w:rFonts w:ascii="David" w:hAnsi="David" w:cs="David"/>
          <w:b/>
          <w:bCs/>
          <w:sz w:val="24"/>
          <w:szCs w:val="24"/>
          <w:rtl/>
        </w:rPr>
        <w:t xml:space="preserve">שם המרצה: </w:t>
      </w:r>
      <w:r>
        <w:rPr>
          <w:rFonts w:ascii="David" w:hAnsi="David" w:cs="David"/>
          <w:b w:val="0"/>
          <w:sz w:val="24"/>
          <w:szCs w:val="24"/>
          <w:rtl/>
        </w:rPr>
        <w:t>פרופ' תמיר גורן</w:t>
      </w:r>
    </w:p>
    <w:p>
      <w:pPr>
        <w:bidi w:val="1"/>
        <w:spacing w:line="360" w:lineRule="auto" w:after="80" w:before="0"/>
        <w:jc w:val="center"/>
      </w:pPr>
      <w:r>
        <w:rPr>
          <w:rFonts w:ascii="David" w:hAnsi="David" w:cs="David"/>
          <w:b/>
          <w:bCs/>
          <w:sz w:val="24"/>
          <w:szCs w:val="24"/>
          <w:rtl/>
        </w:rPr>
        <w:t xml:space="preserve">שם פרטי ומשפחה: </w:t>
      </w:r>
      <w:r>
        <w:rPr>
          <w:rFonts w:ascii="David" w:hAnsi="David" w:cs="David"/>
          <w:b w:val="0"/>
          <w:sz w:val="24"/>
          <w:szCs w:val="24"/>
          <w:rtl/>
        </w:rPr>
        <w:t>שהד בשארה</w:t>
      </w:r>
    </w:p>
    <w:p>
      <w:pPr>
        <w:bidi w:val="1"/>
        <w:spacing w:line="360" w:lineRule="auto" w:after="80" w:before="0"/>
        <w:jc w:val="center"/>
      </w:pPr>
      <w:r>
        <w:rPr>
          <w:rFonts w:ascii="David" w:hAnsi="David" w:cs="David"/>
          <w:b/>
          <w:bCs/>
          <w:sz w:val="24"/>
          <w:szCs w:val="24"/>
          <w:rtl/>
        </w:rPr>
        <w:t xml:space="preserve">מספר תעודת זהות: </w:t>
      </w:r>
      <w:r>
        <w:rPr>
          <w:rFonts w:ascii="David" w:hAnsi="David" w:cs="David"/>
          <w:b w:val="0"/>
          <w:sz w:val="24"/>
          <w:szCs w:val="24"/>
          <w:rtl/>
        </w:rPr>
        <w:t>213181282</w:t>
      </w:r>
    </w:p>
    <w:p>
      <w:pPr>
        <w:bidi w:val="1"/>
        <w:spacing w:line="360" w:lineRule="auto" w:after="80" w:before="0"/>
        <w:jc w:val="center"/>
      </w:pPr>
      <w:r>
        <w:rPr>
          <w:rFonts w:ascii="David" w:hAnsi="David" w:cs="David"/>
          <w:b/>
          <w:bCs/>
          <w:sz w:val="24"/>
          <w:szCs w:val="24"/>
          <w:rtl/>
        </w:rPr>
        <w:t xml:space="preserve">תאריך הגשה: </w:t>
      </w:r>
      <w:r>
        <w:rPr>
          <w:rFonts w:ascii="David" w:hAnsi="David" w:cs="David"/>
          <w:b w:val="0"/>
          <w:sz w:val="24"/>
          <w:szCs w:val="24"/>
          <w:rtl/>
        </w:rPr>
        <w:t>31.7.2026</w:t>
      </w: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240" w:lineRule="auto" w:after="0" w:before="0"/>
        <w:jc w:val="both"/>
      </w:pPr>
    </w:p>
    <w:p>
      <w:pPr>
        <w:bidi w:val="1"/>
        <w:spacing w:line="360" w:lineRule="auto" w:after="0" w:before="0"/>
        <w:jc w:val="center"/>
      </w:pPr>
      <w:r>
        <w:rPr>
          <w:rFonts w:ascii="David" w:hAnsi="David" w:cs="David"/>
          <w:b w:val="0"/>
          <w:sz w:val="24"/>
          <w:szCs w:val="24"/>
          <w:rtl/>
        </w:rPr>
        <w:t>הריני מצהיר/ה ומאשר/ת שלא נעשה שימוש בבינה מלאכותית לצורך הכנת עבודה זו.</w:t>
      </w:r>
    </w:p>
    <w:p>
      <w:r>
        <w:br w:type="page"/>
      </w:r>
    </w:p>
    <w:p>
      <w:pPr>
        <w:bidi w:val="1"/>
        <w:spacing w:line="360" w:lineRule="auto" w:after="160" w:before="0"/>
        <w:jc w:val="center"/>
      </w:pPr>
      <w:r>
        <w:rPr>
          <w:rFonts w:ascii="David" w:hAnsi="David" w:cs="David"/>
          <w:b/>
          <w:bCs/>
          <w:sz w:val="26"/>
          <w:szCs w:val="26"/>
          <w:rtl/>
        </w:rPr>
        <w:t>מעורבות האוכלוסייה היהודית והאוכלוסייה הערבית בתהליך העיור</w:t>
      </w:r>
    </w:p>
    <w:p>
      <w:pPr>
        <w:bidi w:val="1"/>
        <w:spacing w:line="480" w:lineRule="auto" w:after="0" w:before="0"/>
        <w:jc w:val="both"/>
      </w:pPr>
      <w:r>
        <w:rPr>
          <w:rFonts w:ascii="David" w:hAnsi="David" w:cs="David"/>
          <w:b w:val="0"/>
          <w:sz w:val="24"/>
          <w:szCs w:val="24"/>
          <w:rtl/>
        </w:rPr>
        <w:t>תהליך העיור בשלהי התקופה העות'מאנית לא הונע בידי גורם דמוגרפי אחד. האוכלוסייה היהודית הייתה קטנה בהרבה אך כמעט כולה עירונית, וריכזה את כובד משקלה בכמה ערים בודדות. האוכלוסייה הערבית הייתה רוב מכריע ורובה כפרית, ובכל זאת סיפקה לערים את עיקר גידולן הדמוגרפי, את הנהגתן המוניציפלית ואת מרבית פעילותן הכלכלית.</w:t>
      </w:r>
    </w:p>
    <w:p>
      <w:pPr>
        <w:bidi w:val="1"/>
        <w:spacing w:line="360" w:lineRule="auto" w:after="40" w:before="120"/>
        <w:jc w:val="right"/>
      </w:pPr>
      <w:r>
        <w:rPr>
          <w:rFonts w:ascii="David" w:hAnsi="David" w:cs="David"/>
          <w:b/>
          <w:bCs/>
          <w:sz w:val="24"/>
          <w:szCs w:val="24"/>
          <w:rtl/>
        </w:rPr>
        <w:t>מעורבות האוכלוסייה היהודית</w:t>
      </w:r>
    </w:p>
    <w:p>
      <w:pPr>
        <w:bidi w:val="1"/>
        <w:spacing w:line="480" w:lineRule="auto" w:after="0" w:before="0"/>
        <w:jc w:val="both"/>
      </w:pPr>
      <w:r>
        <w:rPr>
          <w:rFonts w:ascii="David" w:hAnsi="David" w:cs="David"/>
          <w:b w:val="0"/>
          <w:sz w:val="24"/>
          <w:szCs w:val="24"/>
          <w:rtl/>
        </w:rPr>
        <w:t>הסימן המובהק של הנוכחות היהודית היה ריכוזה בעיר. בעוד רוב האוכלוסייה הערבית ישבה בכפרים, ישבו למעלה מ-85 אחוזים מן היהודים בערים. בן-אריה הראה כי הגידול היהודי בירושלים הוא שהפך אותה לעיר הגדולה בארץ: מכ-2,000 יהודים בראשית המאה לכ-45,000 ערב מלחמת העולם הראשונה, וכבר בשנות השבעים של המאה התשע-עשרה היוו בה היהודים רוב יחסי.</w:t>
      </w:r>
      <w:r>
        <w:rPr>
          <w:rFonts w:ascii="David" w:hAnsi="David" w:cs="David"/>
          <w:b w:val="0"/>
          <w:sz w:val="24"/>
          <w:szCs w:val="24"/>
          <w:vertAlign w:val="superscript"/>
          <w:rtl/>
        </w:rPr>
        <w:t>1</w:t>
      </w:r>
    </w:p>
    <w:p>
      <w:pPr>
        <w:bidi w:val="1"/>
        <w:spacing w:line="480" w:lineRule="auto" w:after="0" w:before="0"/>
        <w:jc w:val="both"/>
      </w:pPr>
      <w:r>
        <w:rPr>
          <w:rFonts w:ascii="David" w:hAnsi="David" w:cs="David"/>
          <w:b w:val="0"/>
          <w:sz w:val="24"/>
          <w:szCs w:val="24"/>
          <w:rtl/>
        </w:rPr>
        <w:t>המעורבות התבטאה בראש ובראשונה בבנייה. מהקמת משכנות שאננים ב-1860 ועד המלחמה נוסדו מחוץ לחומות ירושלים עשרות שכונות, ורובן המכריע יהודיות, ביוזמת חברות בנייה, כוללים ופילנתרופים, עד שערב המלחמה ישבה כמחצית מאוכלוסיית העיר מחוץ לחומות. ייחודה של בנייה זו היה במימונה: היא לא צמחה מן הכלכלה המקומית אלא מהון שהוזרם מחוץ לארץ, מכספי החלוקה, ממונטיפיורי ומהברון רוטשילד.</w:t>
      </w:r>
      <w:r>
        <w:rPr>
          <w:rFonts w:ascii="David" w:hAnsi="David" w:cs="David"/>
          <w:b w:val="0"/>
          <w:sz w:val="24"/>
          <w:szCs w:val="24"/>
          <w:vertAlign w:val="superscript"/>
          <w:rtl/>
        </w:rPr>
        <w:t>2</w:t>
      </w:r>
    </w:p>
    <w:p>
      <w:pPr>
        <w:bidi w:val="1"/>
        <w:spacing w:line="480" w:lineRule="auto" w:after="0" w:before="0"/>
        <w:jc w:val="both"/>
      </w:pPr>
      <w:r>
        <w:rPr>
          <w:rFonts w:ascii="David" w:hAnsi="David" w:cs="David"/>
          <w:b w:val="0"/>
          <w:sz w:val="24"/>
          <w:szCs w:val="24"/>
          <w:rtl/>
        </w:rPr>
        <w:t>ביפו לבשה המעורבות אופי אחר. חברת אחוזת בית, שנוסדה ב-1906, רכשה מבעלים ערבים קרקע מצפון לעיר והקימה עליה ב-1909 שכונה מתוכננת מראש ובה חלוקת מגרשים אחידה, רחובות רחבים ותקנון בנייה מחייב. כץ מדגיש שהייתה זו יחידה עירונית מתוכננת ולא התרחבות אורגנית של גרעין קיים, ובכך דגם חדש בנוף העירוני של הארץ.</w:t>
      </w:r>
      <w:r>
        <w:rPr>
          <w:rFonts w:ascii="David" w:hAnsi="David" w:cs="David"/>
          <w:b w:val="0"/>
          <w:sz w:val="24"/>
          <w:szCs w:val="24"/>
          <w:vertAlign w:val="superscript"/>
          <w:rtl/>
        </w:rPr>
        <w:t>3</w:t>
      </w:r>
      <w:r>
        <w:rPr>
          <w:rFonts w:ascii="David" w:hAnsi="David" w:cs="David"/>
          <w:b w:val="0"/>
          <w:sz w:val="24"/>
          <w:szCs w:val="24"/>
          <w:rtl/>
        </w:rPr>
        <w:t xml:space="preserve"> בחיפה, לעומת זאת, נותרה הנוכחות היהודית קטנה, כחמישה עשר אחוזים מן התושבים, והתרחבה אל מורדות הכרמל רק בשנים האחרונות של התקופה.</w:t>
      </w:r>
      <w:r>
        <w:rPr>
          <w:rFonts w:ascii="David" w:hAnsi="David" w:cs="David"/>
          <w:b w:val="0"/>
          <w:sz w:val="24"/>
          <w:szCs w:val="24"/>
          <w:vertAlign w:val="superscript"/>
          <w:rtl/>
        </w:rPr>
        <w:t>4</w:t>
      </w:r>
      <w:r>
        <w:rPr>
          <w:rFonts w:ascii="David" w:hAnsi="David" w:cs="David"/>
          <w:b w:val="0"/>
          <w:sz w:val="24"/>
          <w:szCs w:val="24"/>
          <w:rtl/>
        </w:rPr>
        <w:t xml:space="preserve"> המעורבות הייתה גם מוסדית: מאז הקמת עיריית ירושלים בשנות השישים ישבו במועצתה נציגים יהודים לצד מוסלמים ונוצרים, אף שראשות העיר נותרה כל התקופה בידי משפחות האעיאן המוסלמיות, בני חוסייני, ח'אלדי ועלמי.</w:t>
      </w:r>
      <w:r>
        <w:rPr>
          <w:rFonts w:ascii="David" w:hAnsi="David" w:cs="David"/>
          <w:b w:val="0"/>
          <w:sz w:val="24"/>
          <w:szCs w:val="24"/>
          <w:vertAlign w:val="superscript"/>
          <w:rtl/>
        </w:rPr>
        <w:t>5</w:t>
      </w:r>
    </w:p>
    <w:p>
      <w:pPr>
        <w:bidi w:val="1"/>
        <w:spacing w:line="360" w:lineRule="auto" w:after="40" w:before="120"/>
        <w:jc w:val="right"/>
      </w:pPr>
      <w:r>
        <w:rPr>
          <w:rFonts w:ascii="David" w:hAnsi="David" w:cs="David"/>
          <w:b/>
          <w:bCs/>
          <w:sz w:val="24"/>
          <w:szCs w:val="24"/>
          <w:rtl/>
        </w:rPr>
        <w:t>מעורבות האוכלוסייה הערבית</w:t>
      </w:r>
    </w:p>
    <w:p>
      <w:pPr>
        <w:bidi w:val="1"/>
        <w:spacing w:line="480" w:lineRule="auto" w:after="0" w:before="0"/>
        <w:jc w:val="both"/>
      </w:pPr>
      <w:r>
        <w:rPr>
          <w:rFonts w:ascii="David" w:hAnsi="David" w:cs="David"/>
          <w:b w:val="0"/>
          <w:sz w:val="24"/>
          <w:szCs w:val="24"/>
          <w:rtl/>
        </w:rPr>
        <w:t>גרוסמן חלק על תדמיתה של אוכלוסייה ערבית קפואה ומדולדלת והראה שהיא גדלה בקצב ניכר ונעה בתוך הארץ.</w:t>
      </w:r>
      <w:r>
        <w:rPr>
          <w:rFonts w:ascii="David" w:hAnsi="David" w:cs="David"/>
          <w:b w:val="0"/>
          <w:sz w:val="24"/>
          <w:szCs w:val="24"/>
          <w:vertAlign w:val="superscript"/>
          <w:rtl/>
        </w:rPr>
        <w:t>6</w:t>
      </w:r>
      <w:r>
        <w:rPr>
          <w:rFonts w:ascii="David" w:hAnsi="David" w:cs="David"/>
          <w:b w:val="0"/>
          <w:sz w:val="24"/>
          <w:szCs w:val="24"/>
          <w:rtl/>
        </w:rPr>
        <w:t xml:space="preserve"> תנועה זו היא שהזינה את ערי החוף. אליהן נהרו פלאחים מן הכפרים, לצד מהגרים ממצרים שהגיעו בעקבות שלטון אבראהים פאשא, מן החוראן ומלבנון. יזבק מראה שצמיחתה של חיפה נשענה כמעט כולה על הגירה ערבית, פנימית וחיצונית, שהפכה עיירת חוף של כאלף תושבים לעיר מעורבת של כ-22,000 נפש בעלת רוב מוסלמי ומיעוט נוצרי גדול.</w:t>
      </w:r>
      <w:r>
        <w:rPr>
          <w:rFonts w:ascii="David" w:hAnsi="David" w:cs="David"/>
          <w:b w:val="0"/>
          <w:sz w:val="24"/>
          <w:szCs w:val="24"/>
          <w:vertAlign w:val="superscript"/>
          <w:rtl/>
        </w:rPr>
        <w:t>4</w:t>
      </w:r>
    </w:p>
    <w:p>
      <w:pPr>
        <w:bidi w:val="1"/>
        <w:spacing w:line="480" w:lineRule="auto" w:after="0" w:before="0"/>
        <w:jc w:val="both"/>
      </w:pPr>
      <w:r>
        <w:rPr>
          <w:rFonts w:ascii="David" w:hAnsi="David" w:cs="David"/>
          <w:b w:val="0"/>
          <w:sz w:val="24"/>
          <w:szCs w:val="24"/>
          <w:rtl/>
        </w:rPr>
        <w:t>מכאן שהאוכלוסייה הערבית סיפקה לערים את גופן ואת מנגנוניהן. היא היוותה את מרבית תושביהן, החזיקה ברשויות המקומיות ובמשרות המנהל, וניהלה את מרבית המסחר והמלאכה: תעשיית הסבון של שכם, ייצוא השעורה מעזה, ומעל הכול ענף ההדרים של יפו.</w:t>
      </w:r>
      <w:r>
        <w:rPr>
          <w:rFonts w:ascii="David" w:hAnsi="David" w:cs="David"/>
          <w:b w:val="0"/>
          <w:sz w:val="24"/>
          <w:szCs w:val="24"/>
          <w:vertAlign w:val="superscript"/>
          <w:rtl/>
        </w:rPr>
        <w:t>7</w:t>
      </w:r>
    </w:p>
    <w:p>
      <w:pPr>
        <w:bidi w:val="1"/>
        <w:spacing w:line="360" w:lineRule="auto" w:after="60" w:before="120"/>
        <w:jc w:val="right"/>
      </w:pPr>
      <w:r>
        <w:rPr>
          <w:rFonts w:ascii="David" w:hAnsi="David" w:cs="David"/>
          <w:b/>
          <w:bCs/>
          <w:sz w:val="24"/>
          <w:szCs w:val="24"/>
          <w:rtl/>
        </w:rPr>
        <w:t>נתונים כמותיים</w:t>
      </w:r>
    </w:p>
    <w:tbl>
      <w:tblPr>
        <w:tblStyle w:val="TableGrid"/>
        <w:tblW w:type="auto" w:w="0"/>
        <w:jc w:val="center"/>
        <w:tblLook w:firstColumn="1" w:firstRow="1" w:lastColumn="0" w:lastRow="0" w:noHBand="0" w:noVBand="1" w:val="04A0"/>
        <w:bidiVisual/>
      </w:tblPr>
      <w:tblGrid>
        <w:gridCol w:w="2268"/>
        <w:gridCol w:w="2268"/>
        <w:gridCol w:w="2268"/>
        <w:gridCol w:w="2268"/>
      </w:tblGrid>
      <w:tr>
        <w:tc>
          <w:tcPr>
            <w:tcW w:type="dxa" w:w="1247"/>
          </w:tcPr>
          <w:p>
            <w:pPr>
              <w:bidi w:val="1"/>
              <w:spacing w:line="240" w:lineRule="auto" w:after="0" w:before="0"/>
              <w:jc w:val="center"/>
            </w:pPr>
            <w:r>
              <w:rPr>
                <w:rFonts w:ascii="David" w:hAnsi="David" w:cs="David"/>
                <w:b/>
                <w:bCs/>
                <w:sz w:val="20"/>
                <w:szCs w:val="20"/>
                <w:rtl/>
              </w:rPr>
              <w:t>העיר</w:t>
            </w:r>
          </w:p>
        </w:tc>
        <w:tc>
          <w:tcPr>
            <w:tcW w:type="dxa" w:w="1814"/>
          </w:tcPr>
          <w:p>
            <w:pPr>
              <w:bidi w:val="1"/>
              <w:spacing w:line="240" w:lineRule="auto" w:after="0" w:before="0"/>
              <w:jc w:val="center"/>
            </w:pPr>
            <w:r>
              <w:rPr>
                <w:rFonts w:ascii="David" w:hAnsi="David" w:cs="David"/>
                <w:b/>
                <w:bCs/>
                <w:sz w:val="20"/>
                <w:szCs w:val="20"/>
                <w:rtl/>
              </w:rPr>
              <w:t>ראשית המאה ה-19</w:t>
            </w:r>
          </w:p>
        </w:tc>
        <w:tc>
          <w:tcPr>
            <w:tcW w:type="dxa" w:w="1587"/>
          </w:tcPr>
          <w:p>
            <w:pPr>
              <w:bidi w:val="1"/>
              <w:spacing w:line="240" w:lineRule="auto" w:after="0" w:before="0"/>
              <w:jc w:val="center"/>
            </w:pPr>
            <w:r>
              <w:rPr>
                <w:rFonts w:ascii="David" w:hAnsi="David" w:cs="David"/>
                <w:b/>
                <w:bCs/>
                <w:sz w:val="20"/>
                <w:szCs w:val="20"/>
                <w:rtl/>
              </w:rPr>
              <w:t>ערב המלחמה</w:t>
            </w:r>
          </w:p>
        </w:tc>
        <w:tc>
          <w:tcPr>
            <w:tcW w:type="dxa" w:w="4422"/>
          </w:tcPr>
          <w:p>
            <w:pPr>
              <w:bidi w:val="1"/>
              <w:spacing w:line="240" w:lineRule="auto" w:after="0" w:before="0"/>
              <w:jc w:val="center"/>
            </w:pPr>
            <w:r>
              <w:rPr>
                <w:rFonts w:ascii="David" w:hAnsi="David" w:cs="David"/>
                <w:b/>
                <w:bCs/>
                <w:sz w:val="20"/>
                <w:szCs w:val="20"/>
                <w:rtl/>
              </w:rPr>
              <w:t>ההרכב ב-1914</w:t>
            </w:r>
          </w:p>
        </w:tc>
      </w:tr>
      <w:tr>
        <w:tc>
          <w:tcPr>
            <w:tcW w:type="dxa" w:w="1247"/>
          </w:tcPr>
          <w:p>
            <w:pPr>
              <w:bidi w:val="1"/>
              <w:spacing w:line="240" w:lineRule="auto" w:after="0" w:before="0"/>
              <w:jc w:val="center"/>
            </w:pPr>
            <w:r>
              <w:rPr>
                <w:rFonts w:ascii="David" w:hAnsi="David" w:cs="David"/>
                <w:b w:val="0"/>
                <w:sz w:val="20"/>
                <w:szCs w:val="20"/>
                <w:rtl/>
              </w:rPr>
              <w:t>ירושלים</w:t>
            </w:r>
          </w:p>
        </w:tc>
        <w:tc>
          <w:tcPr>
            <w:tcW w:type="dxa" w:w="1814"/>
          </w:tcPr>
          <w:p>
            <w:pPr>
              <w:bidi w:val="1"/>
              <w:spacing w:line="240" w:lineRule="auto" w:after="0" w:before="0"/>
              <w:jc w:val="center"/>
            </w:pPr>
            <w:r>
              <w:rPr>
                <w:rFonts w:ascii="David" w:hAnsi="David" w:cs="David"/>
                <w:b w:val="0"/>
                <w:sz w:val="20"/>
                <w:szCs w:val="20"/>
                <w:rtl/>
              </w:rPr>
              <w:t>8,000-10,000</w:t>
            </w:r>
          </w:p>
        </w:tc>
        <w:tc>
          <w:tcPr>
            <w:tcW w:type="dxa" w:w="1587"/>
          </w:tcPr>
          <w:p>
            <w:pPr>
              <w:bidi w:val="1"/>
              <w:spacing w:line="240" w:lineRule="auto" w:after="0" w:before="0"/>
              <w:jc w:val="center"/>
            </w:pPr>
            <w:r>
              <w:rPr>
                <w:rFonts w:ascii="David" w:hAnsi="David" w:cs="David"/>
                <w:b w:val="0"/>
                <w:sz w:val="20"/>
                <w:szCs w:val="20"/>
                <w:rtl/>
              </w:rPr>
              <w:t>כ-70,000</w:t>
            </w:r>
          </w:p>
        </w:tc>
        <w:tc>
          <w:tcPr>
            <w:tcW w:type="dxa" w:w="4422"/>
          </w:tcPr>
          <w:p>
            <w:pPr>
              <w:bidi w:val="1"/>
              <w:spacing w:line="240" w:lineRule="auto" w:after="0" w:before="0"/>
              <w:jc w:val="center"/>
            </w:pPr>
            <w:r>
              <w:rPr>
                <w:rFonts w:ascii="David" w:hAnsi="David" w:cs="David"/>
                <w:b w:val="0"/>
                <w:sz w:val="20"/>
                <w:szCs w:val="20"/>
                <w:rtl/>
              </w:rPr>
              <w:t>כ-45,000 יהודים, כ-25,000 ערבים</w:t>
            </w:r>
          </w:p>
        </w:tc>
      </w:tr>
      <w:tr>
        <w:tc>
          <w:tcPr>
            <w:tcW w:type="dxa" w:w="1247"/>
          </w:tcPr>
          <w:p>
            <w:pPr>
              <w:bidi w:val="1"/>
              <w:spacing w:line="240" w:lineRule="auto" w:after="0" w:before="0"/>
              <w:jc w:val="center"/>
            </w:pPr>
            <w:r>
              <w:rPr>
                <w:rFonts w:ascii="David" w:hAnsi="David" w:cs="David"/>
                <w:b w:val="0"/>
                <w:sz w:val="20"/>
                <w:szCs w:val="20"/>
                <w:rtl/>
              </w:rPr>
              <w:t>יפו</w:t>
            </w:r>
          </w:p>
        </w:tc>
        <w:tc>
          <w:tcPr>
            <w:tcW w:type="dxa" w:w="1814"/>
          </w:tcPr>
          <w:p>
            <w:pPr>
              <w:bidi w:val="1"/>
              <w:spacing w:line="240" w:lineRule="auto" w:after="0" w:before="0"/>
              <w:jc w:val="center"/>
            </w:pPr>
            <w:r>
              <w:rPr>
                <w:rFonts w:ascii="David" w:hAnsi="David" w:cs="David"/>
                <w:b w:val="0"/>
                <w:sz w:val="20"/>
                <w:szCs w:val="20"/>
                <w:rtl/>
              </w:rPr>
              <w:t>1,000-1,500</w:t>
            </w:r>
          </w:p>
        </w:tc>
        <w:tc>
          <w:tcPr>
            <w:tcW w:type="dxa" w:w="1587"/>
          </w:tcPr>
          <w:p>
            <w:pPr>
              <w:bidi w:val="1"/>
              <w:spacing w:line="240" w:lineRule="auto" w:after="0" w:before="0"/>
              <w:jc w:val="center"/>
            </w:pPr>
            <w:r>
              <w:rPr>
                <w:rFonts w:ascii="David" w:hAnsi="David" w:cs="David"/>
                <w:b w:val="0"/>
                <w:sz w:val="20"/>
                <w:szCs w:val="20"/>
                <w:rtl/>
              </w:rPr>
              <w:t>כ-45,000</w:t>
            </w:r>
          </w:p>
        </w:tc>
        <w:tc>
          <w:tcPr>
            <w:tcW w:type="dxa" w:w="4422"/>
          </w:tcPr>
          <w:p>
            <w:pPr>
              <w:bidi w:val="1"/>
              <w:spacing w:line="240" w:lineRule="auto" w:after="0" w:before="0"/>
              <w:jc w:val="center"/>
            </w:pPr>
            <w:r>
              <w:rPr>
                <w:rFonts w:ascii="David" w:hAnsi="David" w:cs="David"/>
                <w:b w:val="0"/>
                <w:sz w:val="20"/>
                <w:szCs w:val="20"/>
                <w:rtl/>
              </w:rPr>
              <w:t>כ-15,000 יהודים, היתר ערבים</w:t>
            </w:r>
          </w:p>
        </w:tc>
      </w:tr>
      <w:tr>
        <w:tc>
          <w:tcPr>
            <w:tcW w:type="dxa" w:w="1247"/>
          </w:tcPr>
          <w:p>
            <w:pPr>
              <w:bidi w:val="1"/>
              <w:spacing w:line="240" w:lineRule="auto" w:after="0" w:before="0"/>
              <w:jc w:val="center"/>
            </w:pPr>
            <w:r>
              <w:rPr>
                <w:rFonts w:ascii="David" w:hAnsi="David" w:cs="David"/>
                <w:b w:val="0"/>
                <w:sz w:val="20"/>
                <w:szCs w:val="20"/>
                <w:rtl/>
              </w:rPr>
              <w:t>חיפה</w:t>
            </w:r>
          </w:p>
        </w:tc>
        <w:tc>
          <w:tcPr>
            <w:tcW w:type="dxa" w:w="1814"/>
          </w:tcPr>
          <w:p>
            <w:pPr>
              <w:bidi w:val="1"/>
              <w:spacing w:line="240" w:lineRule="auto" w:after="0" w:before="0"/>
              <w:jc w:val="center"/>
            </w:pPr>
            <w:r>
              <w:rPr>
                <w:rFonts w:ascii="David" w:hAnsi="David" w:cs="David"/>
                <w:b w:val="0"/>
                <w:sz w:val="20"/>
                <w:szCs w:val="20"/>
                <w:rtl/>
              </w:rPr>
              <w:t>כ-1,000</w:t>
            </w:r>
          </w:p>
        </w:tc>
        <w:tc>
          <w:tcPr>
            <w:tcW w:type="dxa" w:w="1587"/>
          </w:tcPr>
          <w:p>
            <w:pPr>
              <w:bidi w:val="1"/>
              <w:spacing w:line="240" w:lineRule="auto" w:after="0" w:before="0"/>
              <w:jc w:val="center"/>
            </w:pPr>
            <w:r>
              <w:rPr>
                <w:rFonts w:ascii="David" w:hAnsi="David" w:cs="David"/>
                <w:b w:val="0"/>
                <w:sz w:val="20"/>
                <w:szCs w:val="20"/>
                <w:rtl/>
              </w:rPr>
              <w:t>כ-22,000</w:t>
            </w:r>
          </w:p>
        </w:tc>
        <w:tc>
          <w:tcPr>
            <w:tcW w:type="dxa" w:w="4422"/>
          </w:tcPr>
          <w:p>
            <w:pPr>
              <w:bidi w:val="1"/>
              <w:spacing w:line="240" w:lineRule="auto" w:after="0" w:before="0"/>
              <w:jc w:val="center"/>
            </w:pPr>
            <w:r>
              <w:rPr>
                <w:rFonts w:ascii="David" w:hAnsi="David" w:cs="David"/>
                <w:b w:val="0"/>
                <w:sz w:val="20"/>
                <w:szCs w:val="20"/>
                <w:rtl/>
              </w:rPr>
              <w:t>כ-15% יהודים, היתר ערבים</w:t>
            </w:r>
          </w:p>
        </w:tc>
      </w:tr>
      <w:tr>
        <w:tc>
          <w:tcPr>
            <w:tcW w:type="dxa" w:w="1247"/>
          </w:tcPr>
          <w:p>
            <w:pPr>
              <w:bidi w:val="1"/>
              <w:spacing w:line="240" w:lineRule="auto" w:after="0" w:before="0"/>
              <w:jc w:val="center"/>
            </w:pPr>
            <w:r>
              <w:rPr>
                <w:rFonts w:ascii="David" w:hAnsi="David" w:cs="David"/>
                <w:b w:val="0"/>
                <w:sz w:val="20"/>
                <w:szCs w:val="20"/>
                <w:rtl/>
              </w:rPr>
              <w:t>עזה</w:t>
            </w:r>
          </w:p>
        </w:tc>
        <w:tc>
          <w:tcPr>
            <w:tcW w:type="dxa" w:w="1814"/>
          </w:tcPr>
          <w:p>
            <w:pPr>
              <w:bidi w:val="1"/>
              <w:spacing w:line="240" w:lineRule="auto" w:after="0" w:before="0"/>
              <w:jc w:val="center"/>
            </w:pPr>
            <w:r>
              <w:rPr>
                <w:rFonts w:ascii="David" w:hAnsi="David" w:cs="David"/>
                <w:b w:val="0"/>
                <w:sz w:val="20"/>
                <w:szCs w:val="20"/>
                <w:rtl/>
              </w:rPr>
              <w:t>כ-8,000</w:t>
            </w:r>
          </w:p>
        </w:tc>
        <w:tc>
          <w:tcPr>
            <w:tcW w:type="dxa" w:w="1587"/>
          </w:tcPr>
          <w:p>
            <w:pPr>
              <w:bidi w:val="1"/>
              <w:spacing w:line="240" w:lineRule="auto" w:after="0" w:before="0"/>
              <w:jc w:val="center"/>
            </w:pPr>
            <w:r>
              <w:rPr>
                <w:rFonts w:ascii="David" w:hAnsi="David" w:cs="David"/>
                <w:b w:val="0"/>
                <w:sz w:val="20"/>
                <w:szCs w:val="20"/>
                <w:rtl/>
              </w:rPr>
              <w:t>כ-40,000</w:t>
            </w:r>
          </w:p>
        </w:tc>
        <w:tc>
          <w:tcPr>
            <w:tcW w:type="dxa" w:w="4422"/>
          </w:tcPr>
          <w:p>
            <w:pPr>
              <w:bidi w:val="1"/>
              <w:spacing w:line="240" w:lineRule="auto" w:after="0" w:before="0"/>
              <w:jc w:val="center"/>
            </w:pPr>
            <w:r>
              <w:rPr>
                <w:rFonts w:ascii="David" w:hAnsi="David" w:cs="David"/>
                <w:b w:val="0"/>
                <w:sz w:val="20"/>
                <w:szCs w:val="20"/>
                <w:rtl/>
              </w:rPr>
              <w:t>ערבית כמעט כולה</w:t>
            </w:r>
          </w:p>
        </w:tc>
      </w:tr>
      <w:tr>
        <w:tc>
          <w:tcPr>
            <w:tcW w:type="dxa" w:w="1247"/>
          </w:tcPr>
          <w:p>
            <w:pPr>
              <w:bidi w:val="1"/>
              <w:spacing w:line="240" w:lineRule="auto" w:after="0" w:before="0"/>
              <w:jc w:val="center"/>
            </w:pPr>
            <w:r>
              <w:rPr>
                <w:rFonts w:ascii="David" w:hAnsi="David" w:cs="David"/>
                <w:b w:val="0"/>
                <w:sz w:val="20"/>
                <w:szCs w:val="20"/>
                <w:rtl/>
              </w:rPr>
              <w:t>שכם</w:t>
            </w:r>
          </w:p>
        </w:tc>
        <w:tc>
          <w:tcPr>
            <w:tcW w:type="dxa" w:w="1814"/>
          </w:tcPr>
          <w:p>
            <w:pPr>
              <w:bidi w:val="1"/>
              <w:spacing w:line="240" w:lineRule="auto" w:after="0" w:before="0"/>
              <w:jc w:val="center"/>
            </w:pPr>
            <w:r>
              <w:rPr>
                <w:rFonts w:ascii="David" w:hAnsi="David" w:cs="David"/>
                <w:b w:val="0"/>
                <w:sz w:val="20"/>
                <w:szCs w:val="20"/>
                <w:rtl/>
              </w:rPr>
              <w:t>כ-7,500</w:t>
            </w:r>
          </w:p>
        </w:tc>
        <w:tc>
          <w:tcPr>
            <w:tcW w:type="dxa" w:w="1587"/>
          </w:tcPr>
          <w:p>
            <w:pPr>
              <w:bidi w:val="1"/>
              <w:spacing w:line="240" w:lineRule="auto" w:after="0" w:before="0"/>
              <w:jc w:val="center"/>
            </w:pPr>
            <w:r>
              <w:rPr>
                <w:rFonts w:ascii="David" w:hAnsi="David" w:cs="David"/>
                <w:b w:val="0"/>
                <w:sz w:val="20"/>
                <w:szCs w:val="20"/>
                <w:rtl/>
              </w:rPr>
              <w:t>כ-25,000</w:t>
            </w:r>
          </w:p>
        </w:tc>
        <w:tc>
          <w:tcPr>
            <w:tcW w:type="dxa" w:w="4422"/>
          </w:tcPr>
          <w:p>
            <w:pPr>
              <w:bidi w:val="1"/>
              <w:spacing w:line="240" w:lineRule="auto" w:after="0" w:before="0"/>
              <w:jc w:val="center"/>
            </w:pPr>
            <w:r>
              <w:rPr>
                <w:rFonts w:ascii="David" w:hAnsi="David" w:cs="David"/>
                <w:b w:val="0"/>
                <w:sz w:val="20"/>
                <w:szCs w:val="20"/>
                <w:rtl/>
              </w:rPr>
              <w:t>ערבית כמעט כולה</w:t>
            </w:r>
          </w:p>
        </w:tc>
      </w:tr>
      <w:tr>
        <w:tc>
          <w:tcPr>
            <w:tcW w:type="dxa" w:w="1247"/>
          </w:tcPr>
          <w:p>
            <w:pPr>
              <w:bidi w:val="1"/>
              <w:spacing w:line="240" w:lineRule="auto" w:after="0" w:before="0"/>
              <w:jc w:val="center"/>
            </w:pPr>
            <w:r>
              <w:rPr>
                <w:rFonts w:ascii="David" w:hAnsi="David" w:cs="David"/>
                <w:b w:val="0"/>
                <w:sz w:val="20"/>
                <w:szCs w:val="20"/>
                <w:rtl/>
              </w:rPr>
              <w:t>עכו</w:t>
            </w:r>
          </w:p>
        </w:tc>
        <w:tc>
          <w:tcPr>
            <w:tcW w:type="dxa" w:w="1814"/>
          </w:tcPr>
          <w:p>
            <w:pPr>
              <w:bidi w:val="1"/>
              <w:spacing w:line="240" w:lineRule="auto" w:after="0" w:before="0"/>
              <w:jc w:val="center"/>
            </w:pPr>
            <w:r>
              <w:rPr>
                <w:rFonts w:ascii="David" w:hAnsi="David" w:cs="David"/>
                <w:b w:val="0"/>
                <w:sz w:val="20"/>
                <w:szCs w:val="20"/>
                <w:rtl/>
              </w:rPr>
              <w:t>כ-25,000</w:t>
            </w:r>
          </w:p>
        </w:tc>
        <w:tc>
          <w:tcPr>
            <w:tcW w:type="dxa" w:w="1587"/>
          </w:tcPr>
          <w:p>
            <w:pPr>
              <w:bidi w:val="1"/>
              <w:spacing w:line="240" w:lineRule="auto" w:after="0" w:before="0"/>
              <w:jc w:val="center"/>
            </w:pPr>
            <w:r>
              <w:rPr>
                <w:rFonts w:ascii="David" w:hAnsi="David" w:cs="David"/>
                <w:b w:val="0"/>
                <w:sz w:val="20"/>
                <w:szCs w:val="20"/>
                <w:rtl/>
              </w:rPr>
              <w:t>כ-10,000</w:t>
            </w:r>
          </w:p>
        </w:tc>
        <w:tc>
          <w:tcPr>
            <w:tcW w:type="dxa" w:w="4422"/>
          </w:tcPr>
          <w:p>
            <w:pPr>
              <w:bidi w:val="1"/>
              <w:spacing w:line="240" w:lineRule="auto" w:after="0" w:before="0"/>
              <w:jc w:val="center"/>
            </w:pPr>
            <w:r>
              <w:rPr>
                <w:rFonts w:ascii="David" w:hAnsi="David" w:cs="David"/>
                <w:b w:val="0"/>
                <w:sz w:val="20"/>
                <w:szCs w:val="20"/>
                <w:rtl/>
              </w:rPr>
              <w:t>ערבית כמעט כולה</w:t>
            </w:r>
          </w:p>
        </w:tc>
      </w:tr>
    </w:tbl>
    <w:p>
      <w:pPr>
        <w:bidi w:val="1"/>
        <w:spacing w:line="240" w:lineRule="auto" w:after="120" w:before="40"/>
        <w:jc w:val="right"/>
      </w:pPr>
      <w:r>
        <w:rPr>
          <w:rFonts w:ascii="David" w:hAnsi="David" w:cs="David"/>
          <w:b w:val="0"/>
          <w:sz w:val="20"/>
          <w:szCs w:val="20"/>
          <w:rtl/>
        </w:rPr>
        <w:t>טבלה 1: אומדני אוכלוסייה בערי ארץ-ישראל המרכזיות, על-פי בן-אריה.</w:t>
      </w:r>
      <w:r>
        <w:rPr>
          <w:rFonts w:ascii="David" w:hAnsi="David" w:cs="David"/>
          <w:b w:val="0"/>
          <w:sz w:val="20"/>
          <w:szCs w:val="20"/>
          <w:vertAlign w:val="superscript"/>
          <w:rtl/>
        </w:rPr>
        <w:t>1</w:t>
      </w:r>
    </w:p>
    <w:p>
      <w:pPr>
        <w:bidi w:val="1"/>
        <w:spacing w:line="480" w:lineRule="auto" w:after="0" w:before="0"/>
        <w:jc w:val="both"/>
      </w:pPr>
      <w:r>
        <w:rPr>
          <w:rFonts w:ascii="David" w:hAnsi="David" w:cs="David"/>
          <w:b w:val="0"/>
          <w:sz w:val="24"/>
          <w:szCs w:val="24"/>
          <w:rtl/>
        </w:rPr>
        <w:t>הנתונים מצביעים על שני סוגי השפעה שונים. היהודים מנו ערב המלחמה כ-85,000 נפש, פחות מ-12 אחוזים מאוכלוסיית הארץ, אך למעלה מ-85 אחוזים מהם ישבו בערים, ומשקלם בשלוש הערים הגדולות היה גדול לאין ערוך ממשקלם הארצי: כ-63,000 מתוך כ-137,000 תושבי ירושלים, יפו וחיפה, קרוב למחצית. האוכלוסייה הערבית מנתה כ-700,000 נפש והייתה עירונית בשיעור של כרבע בלבד, אך בערכים מוחלטים סיפקה את רוב תושבי הערים ואת כלל אוכלוסייתן של עזה, שכם, חברון ועכו.</w:t>
      </w:r>
    </w:p>
    <w:p>
      <w:pPr>
        <w:bidi w:val="1"/>
        <w:spacing w:line="480" w:lineRule="auto" w:after="0" w:before="0"/>
        <w:jc w:val="both"/>
      </w:pPr>
      <w:r>
        <w:rPr>
          <w:rFonts w:ascii="David" w:hAnsi="David" w:cs="David"/>
          <w:b w:val="0"/>
          <w:sz w:val="24"/>
          <w:szCs w:val="24"/>
          <w:rtl/>
        </w:rPr>
        <w:t>גם בכלכלה העירונית ניכר ההבדל. שלושים בתי הבד לסבון בשכם ייצרו ב-1907 כ-5,000 טונות בשנה, למעלה ממחצית תפוקת הסבון בארץ, ומיפו יוצאו ב-1913 כ-1.5 מיליון תיבות תפוזים לעומת כ-200,000 בשנות השמונים, מפרדסים שהשתרעו על כ-30,000 דונם ורובם בבעלות ערבית.</w:t>
      </w:r>
      <w:r>
        <w:rPr>
          <w:rFonts w:ascii="David" w:hAnsi="David" w:cs="David"/>
          <w:b w:val="0"/>
          <w:sz w:val="24"/>
          <w:szCs w:val="24"/>
          <w:vertAlign w:val="superscript"/>
          <w:rtl/>
        </w:rPr>
        <w:t>7</w:t>
      </w:r>
      <w:r>
        <w:rPr>
          <w:rFonts w:ascii="David" w:hAnsi="David" w:cs="David"/>
          <w:b w:val="0"/>
          <w:sz w:val="24"/>
          <w:szCs w:val="24"/>
          <w:rtl/>
        </w:rPr>
        <w:t xml:space="preserve"> השפעתן של שתי האוכלוסיות הייתה אפוא שונה בטיבה. האוכלוסייה הערבית קבעה את גודלן של הערים ואת אופיין המנהלי והמסחרי, ואילו האוכלוסייה היהודית קבעה את קצב גידולן של שלוש ערים בלבד, ובהן את צורתן הבנויה ואת דגם התכנון שלהן.</w:t>
      </w:r>
    </w:p>
    <w:p>
      <w:r>
        <w:br w:type="page"/>
      </w:r>
    </w:p>
    <w:p>
      <w:pPr>
        <w:bidi w:val="1"/>
        <w:spacing w:line="360" w:lineRule="auto" w:after="200" w:before="0"/>
        <w:jc w:val="center"/>
      </w:pPr>
      <w:r>
        <w:rPr>
          <w:rFonts w:ascii="David" w:hAnsi="David" w:cs="David"/>
          <w:b/>
          <w:bCs/>
          <w:sz w:val="26"/>
          <w:szCs w:val="26"/>
          <w:rtl/>
        </w:rPr>
        <w:t>ספרות המחקר: רשימת הערות השוליים</w:t>
      </w:r>
    </w:p>
    <w:p>
      <w:pPr>
        <w:bidi w:val="1"/>
        <w:spacing w:line="480" w:lineRule="auto" w:after="40"/>
        <w:ind w:left="454" w:hanging="454"/>
        <w:jc w:val="both"/>
      </w:pPr>
      <w:r>
        <w:rPr>
          <w:rFonts w:ascii="David" w:hAnsi="David" w:cs="David"/>
          <w:b w:val="0"/>
          <w:sz w:val="24"/>
          <w:szCs w:val="24"/>
          <w:rtl/>
        </w:rPr>
        <w:t xml:space="preserve">1. </w:t>
      </w:r>
      <w:r>
        <w:rPr>
          <w:rFonts w:ascii="David" w:hAnsi="David" w:cs="David"/>
          <w:b w:val="0"/>
          <w:sz w:val="24"/>
          <w:szCs w:val="24"/>
          <w:rtl/>
        </w:rPr>
        <w:t xml:space="preserve">יהושע בן-אריה, </w:t>
      </w:r>
      <w:r>
        <w:rPr>
          <w:rFonts w:ascii="David" w:hAnsi="David" w:cs="David"/>
          <w:b w:val="0"/>
          <w:sz w:val="24"/>
          <w:szCs w:val="24"/>
          <w:rtl/>
        </w:rPr>
        <w:t xml:space="preserve">"שנים-עשר היישובים הגדולים בארץ-ישראל במאה התשע-עשרה", </w:t>
      </w:r>
      <w:r>
        <w:rPr>
          <w:rFonts w:ascii="David" w:hAnsi="David" w:cs="David"/>
          <w:b/>
          <w:bCs/>
          <w:sz w:val="24"/>
          <w:szCs w:val="24"/>
          <w:rtl/>
        </w:rPr>
        <w:t>קתדרה</w:t>
      </w:r>
      <w:r>
        <w:rPr>
          <w:rFonts w:ascii="David" w:hAnsi="David" w:cs="David"/>
          <w:b w:val="0"/>
          <w:sz w:val="24"/>
          <w:szCs w:val="24"/>
          <w:rtl/>
        </w:rPr>
        <w:t>, 19 (ניסן תשמ"א), עמ' 83-143.</w:t>
      </w:r>
    </w:p>
    <w:p>
      <w:pPr>
        <w:bidi w:val="1"/>
        <w:spacing w:line="480" w:lineRule="auto" w:after="40"/>
        <w:ind w:left="454" w:hanging="454"/>
        <w:jc w:val="both"/>
      </w:pPr>
      <w:r>
        <w:rPr>
          <w:rFonts w:ascii="David" w:hAnsi="David" w:cs="David"/>
          <w:b w:val="0"/>
          <w:sz w:val="24"/>
          <w:szCs w:val="24"/>
          <w:rtl/>
        </w:rPr>
        <w:t xml:space="preserve">2. </w:t>
      </w:r>
      <w:r>
        <w:rPr>
          <w:rFonts w:ascii="David" w:hAnsi="David" w:cs="David"/>
          <w:b w:val="0"/>
          <w:sz w:val="24"/>
          <w:szCs w:val="24"/>
          <w:rtl/>
        </w:rPr>
        <w:t xml:space="preserve">יהושע בן-אריה, </w:t>
      </w:r>
      <w:r>
        <w:rPr>
          <w:rFonts w:ascii="David" w:hAnsi="David" w:cs="David"/>
          <w:b/>
          <w:bCs/>
          <w:sz w:val="24"/>
          <w:szCs w:val="24"/>
          <w:rtl/>
        </w:rPr>
        <w:t>עיר בראי תקופה: ירושלים החדשה בראשיתה</w:t>
      </w:r>
      <w:r>
        <w:rPr>
          <w:rFonts w:ascii="David" w:hAnsi="David" w:cs="David"/>
          <w:b w:val="0"/>
          <w:sz w:val="24"/>
          <w:szCs w:val="24"/>
          <w:rtl/>
        </w:rPr>
        <w:t>, ירושלים, יד יצחק בן-צבי, 1988, עמ' 472-499.</w:t>
      </w:r>
    </w:p>
    <w:p>
      <w:pPr>
        <w:bidi w:val="1"/>
        <w:spacing w:line="480" w:lineRule="auto" w:after="40"/>
        <w:ind w:left="454" w:hanging="454"/>
        <w:jc w:val="both"/>
      </w:pPr>
      <w:r>
        <w:rPr>
          <w:rFonts w:ascii="David" w:hAnsi="David" w:cs="David"/>
          <w:b w:val="0"/>
          <w:sz w:val="24"/>
          <w:szCs w:val="24"/>
          <w:rtl/>
        </w:rPr>
        <w:t xml:space="preserve">3. </w:t>
      </w:r>
      <w:r>
        <w:rPr>
          <w:rFonts w:ascii="David" w:hAnsi="David" w:cs="David"/>
          <w:b w:val="0"/>
          <w:sz w:val="24"/>
          <w:szCs w:val="24"/>
          <w:rtl/>
        </w:rPr>
        <w:t xml:space="preserve">יוסי כץ, </w:t>
      </w:r>
      <w:r>
        <w:rPr>
          <w:rFonts w:ascii="David" w:hAnsi="David" w:cs="David"/>
          <w:b w:val="0"/>
          <w:sz w:val="24"/>
          <w:szCs w:val="24"/>
          <w:rtl/>
        </w:rPr>
        <w:t xml:space="preserve">"חברת 'אחוזת בית' 1906-1909: הנחת היסודות להקמתה של תל אביב", </w:t>
      </w:r>
      <w:r>
        <w:rPr>
          <w:rFonts w:ascii="David" w:hAnsi="David" w:cs="David"/>
          <w:b/>
          <w:bCs/>
          <w:sz w:val="24"/>
          <w:szCs w:val="24"/>
          <w:rtl/>
        </w:rPr>
        <w:t>קתדרה</w:t>
      </w:r>
      <w:r>
        <w:rPr>
          <w:rFonts w:ascii="David" w:hAnsi="David" w:cs="David"/>
          <w:b w:val="0"/>
          <w:sz w:val="24"/>
          <w:szCs w:val="24"/>
          <w:rtl/>
        </w:rPr>
        <w:t>, 33 (1984), עמ' 161-191.</w:t>
      </w:r>
    </w:p>
    <w:p>
      <w:pPr>
        <w:bidi w:val="1"/>
        <w:spacing w:line="480" w:lineRule="auto" w:after="40"/>
        <w:ind w:left="454" w:hanging="454"/>
        <w:jc w:val="both"/>
      </w:pPr>
      <w:r>
        <w:rPr>
          <w:rFonts w:ascii="David" w:hAnsi="David" w:cs="David"/>
          <w:b w:val="0"/>
          <w:sz w:val="24"/>
          <w:szCs w:val="24"/>
          <w:rtl/>
        </w:rPr>
        <w:t xml:space="preserve">4. </w:t>
      </w:r>
      <w:r>
        <w:rPr>
          <w:rFonts w:ascii="David" w:hAnsi="David" w:cs="David"/>
          <w:b w:val="0"/>
          <w:sz w:val="24"/>
          <w:szCs w:val="24"/>
          <w:rtl/>
        </w:rPr>
        <w:t xml:space="preserve">מחמוד יזבק, </w:t>
      </w:r>
      <w:r>
        <w:rPr>
          <w:rFonts w:ascii="David" w:hAnsi="David" w:cs="David"/>
          <w:b w:val="0"/>
          <w:sz w:val="24"/>
          <w:szCs w:val="24"/>
          <w:rtl/>
        </w:rPr>
        <w:t xml:space="preserve">"חיפה העות'מאנית: צמיחה דמוגרפית וריבוי עדתי", </w:t>
      </w:r>
      <w:r>
        <w:rPr>
          <w:rFonts w:ascii="David" w:hAnsi="David" w:cs="David"/>
          <w:b/>
          <w:bCs/>
          <w:sz w:val="24"/>
          <w:szCs w:val="24"/>
          <w:rtl/>
        </w:rPr>
        <w:t>אופקים בגאוגרפיה</w:t>
      </w:r>
      <w:r>
        <w:rPr>
          <w:rFonts w:ascii="David" w:hAnsi="David" w:cs="David"/>
          <w:b w:val="0"/>
          <w:sz w:val="24"/>
          <w:szCs w:val="24"/>
          <w:rtl/>
        </w:rPr>
        <w:t>, 73-74 (2009), עמ' 58-76.</w:t>
      </w:r>
    </w:p>
    <w:p>
      <w:pPr>
        <w:bidi w:val="1"/>
        <w:spacing w:line="480" w:lineRule="auto" w:after="40"/>
        <w:ind w:left="454" w:hanging="454"/>
        <w:jc w:val="both"/>
      </w:pPr>
      <w:r>
        <w:rPr>
          <w:rFonts w:ascii="David" w:hAnsi="David" w:cs="David"/>
          <w:b w:val="0"/>
          <w:sz w:val="24"/>
          <w:szCs w:val="24"/>
          <w:rtl/>
        </w:rPr>
        <w:t xml:space="preserve">5. </w:t>
      </w:r>
      <w:r>
        <w:rPr>
          <w:rFonts w:ascii="David" w:hAnsi="David" w:cs="David"/>
          <w:b w:val="0"/>
          <w:sz w:val="24"/>
          <w:szCs w:val="24"/>
          <w:rtl/>
        </w:rPr>
        <w:t xml:space="preserve">רות קרק, </w:t>
      </w:r>
      <w:r>
        <w:rPr>
          <w:rFonts w:ascii="David" w:hAnsi="David" w:cs="David"/>
          <w:b w:val="0"/>
          <w:sz w:val="24"/>
          <w:szCs w:val="24"/>
          <w:rtl/>
        </w:rPr>
        <w:t xml:space="preserve">"עיריית ירושלים בשלהי השלטון העות'מאני", </w:t>
      </w:r>
      <w:r>
        <w:rPr>
          <w:rFonts w:ascii="David" w:hAnsi="David" w:cs="David"/>
          <w:b/>
          <w:bCs/>
          <w:sz w:val="24"/>
          <w:szCs w:val="24"/>
          <w:rtl/>
        </w:rPr>
        <w:t>קתדרה</w:t>
      </w:r>
      <w:r>
        <w:rPr>
          <w:rFonts w:ascii="David" w:hAnsi="David" w:cs="David"/>
          <w:b w:val="0"/>
          <w:sz w:val="24"/>
          <w:szCs w:val="24"/>
          <w:rtl/>
        </w:rPr>
        <w:t>, 6 (תשל"ח), עמ' 74-94.</w:t>
      </w:r>
    </w:p>
    <w:p>
      <w:pPr>
        <w:bidi w:val="1"/>
        <w:spacing w:line="480" w:lineRule="auto" w:after="40"/>
        <w:ind w:left="454" w:hanging="454"/>
        <w:jc w:val="both"/>
      </w:pPr>
      <w:r>
        <w:rPr>
          <w:rFonts w:ascii="David" w:hAnsi="David" w:cs="David"/>
          <w:b w:val="0"/>
          <w:sz w:val="24"/>
          <w:szCs w:val="24"/>
          <w:rtl/>
        </w:rPr>
        <w:t xml:space="preserve">6. </w:t>
      </w:r>
      <w:r>
        <w:rPr>
          <w:rFonts w:ascii="David" w:hAnsi="David" w:cs="David"/>
          <w:b w:val="0"/>
          <w:sz w:val="24"/>
          <w:szCs w:val="24"/>
          <w:rtl/>
        </w:rPr>
        <w:t xml:space="preserve">דוד גרוסמן, </w:t>
      </w:r>
      <w:r>
        <w:rPr>
          <w:rFonts w:ascii="David" w:hAnsi="David" w:cs="David"/>
          <w:b w:val="0"/>
          <w:sz w:val="24"/>
          <w:szCs w:val="24"/>
          <w:rtl/>
        </w:rPr>
        <w:t xml:space="preserve">"האוכלוסייה הערבית בארץ ישראל בתקופה העות'מאנית: תדמית ומציאות", </w:t>
      </w:r>
      <w:r>
        <w:rPr>
          <w:rFonts w:ascii="David" w:hAnsi="David" w:cs="David"/>
          <w:b/>
          <w:bCs/>
          <w:sz w:val="24"/>
          <w:szCs w:val="24"/>
          <w:rtl/>
        </w:rPr>
        <w:t>אופקים בגאוגרפיה</w:t>
      </w:r>
      <w:r>
        <w:rPr>
          <w:rFonts w:ascii="David" w:hAnsi="David" w:cs="David"/>
          <w:b w:val="0"/>
          <w:sz w:val="24"/>
          <w:szCs w:val="24"/>
          <w:rtl/>
        </w:rPr>
        <w:t>, 68-69 (תשס"ח), עמ' 6-34.</w:t>
      </w:r>
    </w:p>
    <w:p>
      <w:pPr>
        <w:bidi w:val="1"/>
        <w:spacing w:line="480" w:lineRule="auto" w:after="40"/>
        <w:ind w:left="454" w:hanging="454"/>
        <w:jc w:val="both"/>
      </w:pPr>
      <w:r>
        <w:rPr>
          <w:rFonts w:ascii="David" w:hAnsi="David" w:cs="David"/>
          <w:b w:val="0"/>
          <w:sz w:val="24"/>
          <w:szCs w:val="24"/>
          <w:rtl/>
        </w:rPr>
        <w:t xml:space="preserve">7. </w:t>
      </w:r>
      <w:r>
        <w:rPr>
          <w:rFonts w:ascii="David" w:hAnsi="David" w:cs="David"/>
          <w:b w:val="0"/>
          <w:sz w:val="24"/>
          <w:szCs w:val="24"/>
          <w:rtl/>
        </w:rPr>
        <w:t xml:space="preserve">נחום גרוס, </w:t>
      </w:r>
      <w:r>
        <w:rPr>
          <w:rFonts w:ascii="David" w:hAnsi="David" w:cs="David"/>
          <w:b w:val="0"/>
          <w:sz w:val="24"/>
          <w:szCs w:val="24"/>
          <w:rtl/>
        </w:rPr>
        <w:t xml:space="preserve">"תמורות כלכליות בארץ-ישראל בסוף התקופה העות'מאנית", </w:t>
      </w:r>
      <w:r>
        <w:rPr>
          <w:rFonts w:ascii="David" w:hAnsi="David" w:cs="David"/>
          <w:b/>
          <w:bCs/>
          <w:sz w:val="24"/>
          <w:szCs w:val="24"/>
          <w:rtl/>
        </w:rPr>
        <w:t>קתדרה</w:t>
      </w:r>
      <w:r>
        <w:rPr>
          <w:rFonts w:ascii="David" w:hAnsi="David" w:cs="David"/>
          <w:b w:val="0"/>
          <w:sz w:val="24"/>
          <w:szCs w:val="24"/>
          <w:rtl/>
        </w:rPr>
        <w:t>, 2 (תשל"ז), עמ' 111-125.</w:t>
      </w:r>
    </w:p>
    <w:sectPr w:rsidR="00FC693F" w:rsidRPr="0006063C" w:rsidSect="00034616">
      <w:footerReference w:type="default" r:id="rId9"/>
      <w:headerReference w:type="default" r:id="rId10"/>
      <w:pgSz w:w="11906" w:h="16838"/>
      <w:pgMar w:top="1417" w:right="1417" w:bottom="1417" w:left="1417"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40" w:lineRule="auto"/>
      <w:jc w:val="center"/>
    </w:pPr>
    <w:r>
      <w:rPr>
        <w:rFonts w:ascii="David" w:hAnsi="David" w:cs="David"/>
        <w:b w:val="0"/>
        <w:sz w:val="24"/>
        <w:szCs w:val="24"/>
        <w:rt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