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שנים עשר פריטים, בלי עודף מעבר לנדרש: חמישה מקורות מתודולוגיים (הנדרש הוא ארבעה לפחות) ושבעה מקורות תוכן, מהם חמישה מן השנים 2024 עד 2025 ושניים העוסקים ישירות בנשים ערביות בישראל. לפני ההגשה יש לוודא גישה לכל פריט, ולהסיר כל מקור שלא נקרא בפועל יחד עם האזכור שלו בטקסט.</w:t>
      </w:r>
    </w:p>
    <w:p>
      <w:pPr>
        <w:bidi/>
        <w:spacing w:after="0" w:line="360" w:lineRule="auto"/>
        <w:jc w:val="both"/>
      </w:pPr>
      <w:r>
        <w:rPr>
          <w:rFonts w:ascii="David" w:cs="David" w:eastAsia="David" w:hAnsi="David"/>
          <w:sz w:val="24"/>
          <w:szCs w:val="24"/>
          <w:rtl/>
        </w:rPr>
        <w:t xml:space="preserve">גוף העבודה מונה כ-3,200 מילים ומכוון להיקף של כשמונה עמודים.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ערביות צעירות</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ערביות צעירות אזרחיות ישראל.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ערביות במוסדות ההשכלה הגבוהה בישראל, והן מהוות כיום את רוב הסטודנטים מן החברה הערבית. אראר וחאג' יחיא הראו שהתואר האקדמי נתפס במיעוט הערבי כמנוף לניעות חברתית ולהשתלבות, ובה בעת תיארו את חסמי הכניסה: פערי שפה, מרחק גאוגרפי מן הקמפוסים, ומפגש עם מרחב אקדמי שתרבותו שונה מזו של יישוב המוצא (Arar &amp; Haj-Yehia, 2016).</w:t>
      </w:r>
    </w:p>
    <w:p>
      <w:pPr>
        <w:bidi/>
        <w:spacing w:after="0" w:line="480" w:lineRule="auto"/>
        <w:jc w:val="both"/>
      </w:pPr>
      <w:r>
        <w:rPr>
          <w:rFonts w:ascii="David" w:cs="David" w:eastAsia="David" w:hAnsi="David"/>
          <w:sz w:val="24"/>
          <w:szCs w:val="24"/>
          <w:rtl/>
        </w:rPr>
        <w:t xml:space="preserve">מלר ומרנין-דיסטלפלד מצאו שהנישואים והאימהות נותרים ציוני דרך מרכזיים במסלול חייהן של סטודנטיות ערביות-פלסטיניות גם כשההשכלה מרחיבה את מרחב הבחירה, כלומר הלימודים אינם מחליפים את הציפיות המשפחתיות אלא נדחסים לתוכן (Meler &amp; Marnin-Distelfeld, 2024). צבאח-כרכבי הראתה שחלוקת עבודות הבית והטיפול במשפחות ערביות-פלסטיניות בישראל נותרת ממוגדרת מאוד ומשתנה לפי מיקומה של המשפחה במערך הריבוד (Sabbah-Karkabi, 2024). כניסה של אישה ללימודים אינה מפעילה אפוא חלוקה מחדש של הנטל, אלא מוסיפה עליו שכבה.</w:t>
      </w:r>
    </w:p>
    <w:p>
      <w:pPr>
        <w:bidi/>
        <w:spacing w:after="0" w:line="480" w:lineRule="auto"/>
        <w:jc w:val="both"/>
      </w:pPr>
      <w:r>
        <w:rPr>
          <w:rFonts w:ascii="David" w:cs="David" w:eastAsia="David" w:hAnsi="David"/>
          <w:sz w:val="24"/>
          <w:szCs w:val="24"/>
          <w:rtl/>
        </w:rPr>
        <w:t xml:space="preserve">קוליק בחנה 256 הורים ישראלים שמילאו בו זמנית שלושה תפקידים, הורות, עבודה ולימודים, ומצאה שנשים דיווחו על איזון נמוך יותר בכל שלוש המערכות ועל קונפליקט גבוה יותר במפגש שבין המשפחה ללימודים (Kulik, 2025). העבודה מבקשת לבחון כיצד נראה הדפוס מבפנים אצל נשים שנוספים עליו מרחק מן הקמפוס, לימודים בשפה שאינה שפת אמן,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ערביות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ערביות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(צבר בן-יהושע, 2016).</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ובאיזה סדר, ואחריה שאלות הבהרה והרחבה שנגזרות ממה שהיא עצמה העלתה. מדריך הראיון הוא רשימת תחומים ולא שאלון. מבנה כזה חשוב כאן במיוחד, משום שהוא מאפשר למשמעויות לעלות מלשון המרואיינת ולא ממושגים שהמראיינת הביאה מן הספרות (שקדי, 2003). מחקר עדכני על אימהות פלסטיניות בישראל נשען על אותה סוגה (Athamneh,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ערבייה אזרחית ישראל,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הראשונה נעשתה בהודעת טקסט בערבית שהציגה את מטרת העבודה, את היקף הזמן ואת תנאי האנונימיות, כדי שההסכמה לא תינתן מתוך נימוס. שלוש המרואיינות נשואות ומתגוררות ביישובים ערביים בצפון ובמשולש. אין בהן ייצוג לנשים בדוויות, דרוזיות או נוצריות, שתנאי חייהן שונים, ולא לנשים חד הוריות.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50"/>
        <w:gridCol w:w="600"/>
        <w:gridCol w:w="1450"/>
        <w:gridCol w:w="1550"/>
        <w:gridCol w:w="2150"/>
        <w:gridCol w:w="2272"/>
      </w:tblGrid>
      <w:tr>
        <w:trPr>
          <w:tblHeader/>
        </w:trPr>
        <w:tc>
          <w:tcPr>
            <w:tcW w:type="dxa" w:w="1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6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1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סמאח</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כפר בגליל</w:t>
            </w:r>
          </w:p>
        </w:tc>
        <w:tc>
          <w:tcPr>
            <w:tcW w:type="dxa" w:w="21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ראניה</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עיר מעורבת</w:t>
            </w:r>
          </w:p>
        </w:tc>
        <w:tc>
          <w:tcPr>
            <w:tcW w:type="dxa" w:w="21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הודא</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עיירה במשולש</w:t>
            </w:r>
          </w:p>
        </w:tc>
        <w:tc>
          <w:tcPr>
            <w:tcW w:type="dxa" w:w="21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ומשמרות. כל ראיון נפתח בהצגה עצמית קצרה, בהסבר על מטרת העבודה ובחתימה על טופס הסכמה מדעת. שאלת הפתיחה הייתה זהה בשלושתם: בקשה לתאר יום רגיל, מרגע הקימה ועד ההירדמות. שאלה זו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והוחלפה בראיונות הבאים בניסוח פתוח שהניב חומר עשיר בהרבה. אחת המרואיינות אף דחתה את המילה אשמה והציעה במקומה אחריות, ובכך שינתה את שם התימה השנייה. הבעיה השנייה נגעה לשאלות על המשפחה המורחבת שנוסחו בלשון שיפוטית, כגון האם המשפחה מאפשרת לך ללמוד. שאלה כזאת מניחה מראש שהמשפחה היא מכשול, ונוסחה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ראיון על חוויה אינטימית מתנהל בשפה שבה החוויה נחווית, ובקשה לדבר עברית הייתה מעבירה את המרואיינות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בכל שלב.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כל אחד מכיר את כולם, צירוף של תחום לימודים, מספר ילדים ומקום עבודה עלול לזהות אישה גם בלי שמה. לכן הוחלפו השמות בשמות בדויים, שמות היישובים הוחלפו בתיאור כללי, שמות המעסיקים הושמטו וגילי הילדים עוגלו. פרט מזהה נוסף, מקצועו של אחד מבני הזוג, הוסר לחלוטין.</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ויחסיו עם המשתתפים מעצבים את הידע שנוצר, במקום להעמיד פנים שהוא ניצב מחוץ למחקר (Olmos-Vega et al., 2023). הקרבה סייעה לפתיחות אך יצרה פיתוי להניח הבנה, ולכן נעשה מאמץ לבקש הבהרה גם על דברים שנשמעו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סמאח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(הודא)</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ראניה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ראניה תיארה את הפיצול בקצרה: "אני יושבת בהרצאה וחושבת על הגן. אני בגן וחושבת על המבחן. אין רגע אחד שאני נמצאת רק במקום אחד." הודא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סמאח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סמאח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הודא,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ראניה: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וזהו הפער שתיארה הוקשילד בין הצהרה על שוויון לבין חלוקת העבודה בפועל (Hochschild, 1989). צבאח-כרכבי מראה שבמשפחות ערביות-פלסטיניות בישראל החלוקה נותרת ממוגדרת אך אינה אחידה, ומשתנה לפי משאבי המשפחה ומיקומה החברתי (Sabbah-Karkabi, 2024). השונות בין שלוש המרואיינות ממחישה זאת.</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הודא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(הודא)</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ראניה תיארה אותו כך: "אני חושבת בערבית וכותבת בעברית. זה לוקח לי פי שניים זמן, וזה לא בגלל שאני לא מבינה את החומר." זהו החסם שתיארו אראר וחאג' יחיא, שהצביעו על השפה ועל המרחק כמכשולים מבניים בדרכם של סטודנטים ערבים (Arar &amp; Haj-Yehia, 2016).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סמאח תיארה שני קצוות באותו סמסטר: "יש מרצה שאמרה לי תביאי אותה, שתשב מאחורה עם טאבלט. ויש מרצה שאמר לי שזה לא מעון." ההבדל אינו נעוץ במדיניות אלא באדם. ההתאמות קיימות, אך הן ניתנות כטובה אישית ולא כזכות, ולכן אינן ניתנות לתכנון ולא לתביעה. הממצא תואם את מסקנתם של סאלי ואחרים, שלפיה הצלחתן של אימהות סטודנטיות נשענת על גורם מוסדי בודד שנקרה בדרכן ולא על מדיניות סדורה, ולכן היא מקרית מטבעה (Sallee et al., 2025).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ראניה אמרה: "בדי אכון אישי (بدي أكون إشي, אני רוצה להיות משהו). לא במקום אמא. ביחד עם." הודא הוסיפה נימוק אחר לגמרי: "אם מחר אני לבד, אני צריכה לדעת שאני יכולה להחזיק את הילדים. תעודה זה ביטחון." סמאח קשרה את הלימודים לדמות שהיא מציגה בפני ילדיה: "אני רוצה שהבת שלי תראה אותי לומדת."</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(סמאח)</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קוליק מצאה שנשים המשלבות הורות, עבודה ולימודים מדווחות על קונפליקט גבוה במיוחד במפגש שבין המשפחה ללימודים (Kulik, 2025), והממצאים כאן מוסיפים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w:t>
      </w:r>
    </w:p>
    <w:p>
      <w:pPr>
        <w:bidi/>
        <w:spacing w:after="0" w:line="480" w:lineRule="auto"/>
        <w:jc w:val="both"/>
      </w:pPr>
      <w:r>
        <w:rPr>
          <w:rFonts w:ascii="David" w:cs="David" w:eastAsia="David" w:hAnsi="David"/>
          <w:sz w:val="24"/>
          <w:szCs w:val="24"/>
          <w:rtl/>
        </w:rPr>
        <w:t xml:space="preserve">הממצא על החמות מוסיף נדבך שאינו מופיע במודל המשמרת השנייה (Hochschild, 1989): הגורם שמאפשר את הלימודים אינו בן הזוג אלא אישה אחרת מן הדור הקודם. התמיכה עוברת בין נשים, וכך גם הפיקוח. צבאח-כרכבי מראה שהפער בחלוקת העבודה בחברה הערבית-פלסטינית בישראל אינו אחיד אלא נגזר ממשאבי המשפחה וממיקומה החברתי (Sabbah-Karkabi, 2024), והשונות בין שלוש המרואיינות תומכת בכך.</w:t>
      </w:r>
    </w:p>
    <w:p>
      <w:pPr>
        <w:bidi/>
        <w:spacing w:after="0" w:line="480" w:lineRule="auto"/>
        <w:jc w:val="both"/>
      </w:pPr>
      <w:r>
        <w:rPr>
          <w:rFonts w:ascii="David" w:cs="David" w:eastAsia="David" w:hAnsi="David"/>
          <w:sz w:val="24"/>
          <w:szCs w:val="24"/>
          <w:rtl/>
        </w:rPr>
        <w:t xml:space="preserve">ההתאמות הניתנות כטובה אישית מתכתבות עם סאלי ואחרים, שהראו שבין מוסדות בעלי מערך שירותים שלם ובין מוסדות שאין בהם דבר ניצב לרוב אדם אחד שהחליט לעזור (Sallee et al., 2025). כאן מצטרף חסם השפה, שאראר וחאג' יחיא זיהו כמכשול מרכזי בפני סטודנטים ערבים (Arar &amp; Haj-Yehia, 2016).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מלר ומרנין-דיסטלפלד מצאו שסטודנטיות ערביות-פלסטיניות אינן מציגות את ההשכלה כתחליף לנישואים ולאימהות אלא כרכיב נוסף בזהותן (Meler &amp; Marnin-Distelfeld, 2024), וזה בדיוק ניסוחה של ראניה, "לא במקום אמא, ביחד עם". קוליק בחנה לצד הקונפליקט גם העשרת תפקידים והראתה ששני התהליכים מתקיימים בו זמנית (Kulik, 2025).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ארבע מסקנות יישומיות: פרסום לוח בחינות בתחילת הסמסטר והימנעות משיבוץ בחינות בבוקר מוקדם ביום שבו מסגרות החינוך סגורות; נוהל מוסדי כתוב להתאמות לסטודנטים הורים, שיחליף את ההסתמכות על שיקול דעתו של המרצה; סיוע קבוע בכתיבה אקדמית בעברית לדוברות ערבית, ולא תגבור חד פעמי; ומרחב עמיתים לסטודנטיות אימהות מן החברה הערבית, שכן הבידוד בכיתה תואר כמכביד לא פחות מן העומס. מגבלות העבודה ברורות: שלוש מרואיינות אינן מדגם, כולן נשואות, כולן מיישובים בצפון ובמשולש, וכולן בחרו להשתתף, כלומר היה להן כוח לספר. 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מודע לספור שלוש שניות לפני כל תגובה, והמרואיינות המשיכו לדבר בעצמן והגיעו לחומר שלא נשאלו עליו. ההבדל ניכר באורך התשובות.</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סמאח,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מהן תיקנה תרגום, והשנייה העירה שהכותרת שהוצעה לתימה השנייה, שכללה את המילה אשמה, אינה מתארת אותה. ההערה הזאת לא נוספה כהסתייגות בשוליים אלא שינתה את שם התימה, וזו הייתה הלמידה המרכזית: ניתוח איכותני אינו איסוף ציטוטים אלא רצף הכרעות, והשקיפות לגביהן היא מה שמבדיל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הודא,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ראניה בכתה. הרצון הראשון שלי לא היה לתמוך בה, הוא היה שהיא תפסיק, כי לא ידעתי מה לעשות ופחדתי שהראיון יתקלקל. עצרתי את ההקלטה ושאלתי אם היא רוצה להפסיק, וזה היה הדבר הנכון, אבל המניע שלי באותו רגע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ראניה,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צבר בן-יהושע, נ' (עורכת). (2016). מסורות וזרמים במחקר האיכותני: תפיסות, אסטרטגיות וכלים מתקדמים. מכון מופ"ת.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Arar, K., &amp; Haj-Yehia, K. (2016). Higher education and the Palestinian Arab minority in Israel. Palgrave Macmillan. https://doi.org/10.1057/9781137533425</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Hochschild, A. R. (1989). The second shift: Working parents and the revolution at home. Viking.</w:t>
      </w:r>
    </w:p>
    <w:p>
      <w:pPr>
        <w:bidi w:val="false"/>
        <w:spacing w:after="0" w:line="480" w:lineRule="auto"/>
        <w:ind w:left="709" w:hanging="709"/>
        <w:jc w:val="left"/>
      </w:pPr>
      <w:r>
        <w:rPr>
          <w:rFonts w:ascii="Times New Roman" w:cs="Times New Roman" w:eastAsia="Times New Roman" w:hAnsi="Times New Roman"/>
          <w:sz w:val="24"/>
          <w:szCs w:val="24"/>
        </w:rPr>
        <w:t xml:space="preserve">Kulik, L. (2025). Working and studying Israeli parents: Experiences in multiple role interfaces. International Journal for the Advancement of Counselling, 47, 625-650. https://doi.org/10.1007/s10447-025-09605-3</w:t>
      </w:r>
    </w:p>
    <w:p>
      <w:pPr>
        <w:bidi w:val="false"/>
        <w:spacing w:after="0" w:line="480" w:lineRule="auto"/>
        <w:ind w:left="709" w:hanging="709"/>
        <w:jc w:val="left"/>
      </w:pPr>
      <w:r>
        <w:rPr>
          <w:rFonts w:ascii="Times New Roman" w:cs="Times New Roman" w:eastAsia="Times New Roman" w:hAnsi="Times New Roman"/>
          <w:sz w:val="24"/>
          <w:szCs w:val="24"/>
        </w:rPr>
        <w:t xml:space="preserve">Meler, T., &amp; Marnin-Distelfeld, S. (2024). Marriage and motherhood: Insights on a crucial life course process from the perspective of female Arab-Palestinian undergraduate students. Advances in Life Course Research, 60, Article 100614. https://doi.org/10.1016/j.alcr.2024.100614</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Sabbah-Karkabi, M. (2024). The diverging gender inequality across households: The case of Palestinian-Arab families in Israel. Current Sociology, 72(3), 519-540. https://doi.org/10.1177/00113921221141471</w:t>
      </w:r>
    </w:p>
    <w:p>
      <w:pPr>
        <w:bidi w:val="false"/>
        <w:spacing w:after="0" w:line="480" w:lineRule="auto"/>
        <w:ind w:left="709" w:hanging="709"/>
        <w:jc w:val="left"/>
      </w:pPr>
      <w:r>
        <w:rPr>
          <w:rFonts w:ascii="Times New Roman" w:cs="Times New Roman" w:eastAsia="Times New Roman" w:hAnsi="Times New Roman"/>
          <w:sz w:val="24"/>
          <w:szCs w:val="24"/>
        </w:rPr>
        <w:t xml:space="preserve">Sallee, M. W., Lewis, D. V., &amp; Collier, K. (2025). From comprehensive services to no support at all: How institutional agents shape student-mothers' academic success. The Journal of Higher Education, 96(1), 1-27. https://doi.org/10.1080/00221546.2023.2282376</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סמאח,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ביישוב שלנו. יש גנים פרטיים בשכונה השנייה,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סמאח: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ראניה,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ראניה. תקראי לי ראניה,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ראניה.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נוסעת למכללה,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ראניה: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הודא,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הודא: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סמאח</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ראניה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הודא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2026-08-09T20:58:43.395Z</dcterms:created>
  <dcterms:modified xsi:type="dcterms:W3CDTF">2026-08-09T20:58:43.395Z</dcterms:modified>
</cp:coreProperties>
</file>

<file path=docProps/custom.xml><?xml version="1.0" encoding="utf-8"?>
<Properties xmlns="http://schemas.openxmlformats.org/officeDocument/2006/custom-properties" xmlns:vt="http://schemas.openxmlformats.org/officeDocument/2006/docPropsVTypes"/>
</file>