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2"/>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33"/>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4"/>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5"/>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6"/>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7"/>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38"/>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9"/>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0"/>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41"/>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2"/>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3"/>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4"/>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45"/>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46"/>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47"/>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48"/>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49"/>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50"/>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51"/>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52"/>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53"/>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4"/>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5"/>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6"/>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57"/>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58"/>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59"/>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60"/>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61"/>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62"/>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63"/>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64"/>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5"/>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66"/>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67"/>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68"/>
      </w:r>
      <w:r>
        <w:rPr>
          <w:rFonts w:ascii="David" w:cs="David" w:eastAsia="David" w:hAnsi="David"/>
          <w:sz w:val="24"/>
          <w:szCs w:val="24"/>
          <w:rtl/>
        </w:rPr>
        <w:t xml:space="preserve"> התוצאה המבנית מרתקת: דווקא מפני שהמס "רואה" את העסקה ואת ההחזקה הבלתי רשומות, נוצר פער בין שני מרשמים – מרשם הזכויות, שבו העסקה אינה קיימת, ומרשם המס, שבו היא הייתה אמורה להיות מדווחת זה מכבר. פער זה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69"/>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70"/>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71"/>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72"/>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73"/>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74"/>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75"/>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76"/>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77"/>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78"/>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79"/>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80"/>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81"/>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82"/>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83"/>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84"/>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85"/>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86"/>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87"/>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88"/>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89"/>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90"/>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91"/>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92"/>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93"/>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94"/>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95"/>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96"/>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97"/>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98"/>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99"/>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00"/>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01"/>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02"/>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03"/>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04"/>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05"/>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06"/>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07"/>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08"/>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09"/>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10"/>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11"/>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12"/>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13"/>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14"/>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15"/>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16"/>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17"/>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18"/>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w:t>
      </w:r>
    </w:p>
  </w:footnote>
  <w:footnote w:id="33">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34">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5">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344 ואילך.</w:t>
      </w:r>
    </w:p>
  </w:footnote>
  <w:footnote w:id="36">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7">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8">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39">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0">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1">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2">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3">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4">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43</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40</w:t>
      </w:r>
      <w:r>
        <w:rPr>
          <w:rFonts w:ascii="David" w:cs="David" w:eastAsia="David" w:hAnsi="David"/>
          <w:sz w:val="20"/>
          <w:szCs w:val="20"/>
          <w:rtl/>
        </w:rPr>
        <w:t xml:space="preserve">, לעניין היחס בין רישיון לחזקה.</w:t>
      </w:r>
    </w:p>
  </w:footnote>
  <w:footnote w:id="4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46">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46</w:t>
      </w:r>
      <w:r>
        <w:rPr>
          <w:rFonts w:ascii="David" w:cs="David" w:eastAsia="David" w:hAnsi="David"/>
          <w:sz w:val="20"/>
          <w:szCs w:val="20"/>
          <w:rtl/>
        </w:rPr>
        <w:t xml:space="preserve">, בעמ׳ 3–4 לפסק הדין.</w:t>
      </w:r>
    </w:p>
  </w:footnote>
  <w:footnote w:id="48">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9">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50">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51">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52">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53">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46</w:t>
      </w:r>
      <w:r>
        <w:rPr>
          <w:rFonts w:ascii="David" w:cs="David" w:eastAsia="David" w:hAnsi="David"/>
          <w:sz w:val="20"/>
          <w:szCs w:val="20"/>
          <w:rtl/>
        </w:rPr>
        <w:t xml:space="preserve">.</w:t>
      </w:r>
    </w:p>
  </w:footnote>
  <w:footnote w:id="54">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55">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6">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48</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5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59">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17.9.2020), שבו נדחתה תביעה משפחתית להעברת זכויות מכוח מתנה נטענת נוכח השיהוי, היעדר הרישום, שינויי הגרסה ואי-עמידה בנטל השכנוע הכבד הנדרש נגד עיזבון.</w:t>
      </w:r>
    </w:p>
  </w:footnote>
  <w:footnote w:id="61">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62">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63">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282.</w:t>
      </w:r>
    </w:p>
  </w:footnote>
  <w:footnote w:id="64">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5">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66">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67">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151.</w:t>
      </w:r>
    </w:p>
  </w:footnote>
  <w:footnote w:id="68">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153–154.</w:t>
      </w:r>
    </w:p>
  </w:footnote>
  <w:footnote w:id="69">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62</w:t>
      </w:r>
      <w:r>
        <w:rPr>
          <w:rFonts w:ascii="David" w:cs="David" w:eastAsia="David" w:hAnsi="David"/>
          <w:sz w:val="20"/>
          <w:szCs w:val="20"/>
          <w:rtl/>
        </w:rPr>
        <w:t xml:space="preserve">, בעמ׳ 282–284, והפסיקה הנסקרת שם.</w:t>
      </w:r>
    </w:p>
  </w:footnote>
  <w:footnote w:id="71">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63</w:t>
      </w:r>
      <w:r>
        <w:rPr>
          <w:rFonts w:ascii="David" w:cs="David" w:eastAsia="David" w:hAnsi="David"/>
          <w:sz w:val="20"/>
          <w:szCs w:val="20"/>
          <w:rtl/>
        </w:rPr>
        <w:t xml:space="preserve">.</w:t>
      </w:r>
    </w:p>
  </w:footnote>
  <w:footnote w:id="72">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73">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74">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75">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82">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83">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34</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8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38</w:t>
      </w:r>
      <w:r>
        <w:rPr>
          <w:rFonts w:ascii="David" w:cs="David" w:eastAsia="David" w:hAnsi="David"/>
          <w:sz w:val="20"/>
          <w:szCs w:val="20"/>
          <w:rtl/>
        </w:rPr>
        <w:t xml:space="preserve">.</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87">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88">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89">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90">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91">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72</w:t>
      </w:r>
      <w:r>
        <w:rPr>
          <w:rFonts w:ascii="David" w:cs="David" w:eastAsia="David" w:hAnsi="David"/>
          <w:sz w:val="20"/>
          <w:szCs w:val="20"/>
          <w:rtl/>
        </w:rPr>
        <w:t xml:space="preserve">.</w:t>
      </w:r>
    </w:p>
  </w:footnote>
  <w:footnote w:id="92">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93">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95">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96">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97">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88</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01">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02">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04">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05">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34</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06">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07">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08">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09">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11">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12">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13">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1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15">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37</w:t>
      </w:r>
      <w:r>
        <w:rPr>
          <w:rFonts w:ascii="David" w:cs="David" w:eastAsia="David" w:hAnsi="David"/>
          <w:sz w:val="20"/>
          <w:szCs w:val="20"/>
          <w:rtl/>
        </w:rPr>
        <w:t xml:space="preserve">.</w:t>
      </w:r>
    </w:p>
  </w:footnote>
  <w:footnote w:id="116">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82</w:t>
      </w:r>
      <w:r>
        <w:rPr>
          <w:rFonts w:ascii="David" w:cs="David" w:eastAsia="David" w:hAnsi="David"/>
          <w:sz w:val="20"/>
          <w:szCs w:val="20"/>
          <w:rtl/>
        </w:rPr>
        <w:t xml:space="preserve">.</w:t>
      </w:r>
    </w:p>
  </w:footnote>
  <w:footnote w:id="117">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18">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2026-08-28T08:11:49.399Z</dcterms:created>
  <dcterms:modified xsi:type="dcterms:W3CDTF">2026-08-28T08:11:49.399Z</dcterms:modified>
</cp:coreProperties>
</file>

<file path=docProps/custom.xml><?xml version="1.0" encoding="utf-8"?>
<Properties xmlns="http://schemas.openxmlformats.org/officeDocument/2006/custom-properties" xmlns:vt="http://schemas.openxmlformats.org/officeDocument/2006/docPropsVTypes"/>
</file>