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כפי שנלמד במצגת “מאפייני הנערים.ות”, 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במצגת מנו כמה מופעים, ובהם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(מצגות הקורס: “מאפייני הנערים.ות”;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וכיליון”, על פי הטיפולוגיה שנלמדה.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 (מצגות הקורס: “מאפייני הנערים.ות”).</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שעליו דובר במצגות.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בדיוק כפי שתואר במצגת בהקשר של פחד מקרבה: משחית, מתריס ומאיים לעזוב, כדי לבדוק אם כשיש למבוגר כוח וקרבה הוא ינצל אותם נגדו. ההרס הזה הוא, במונחי “הרס האובייקט” של ויניקוט שהובאו בכיתה, תקיפה של האובייקט מתוך משאלה שישרוד וימשיך להתקיים עבורו. ההעברה הנגדית גלויה: קלארק מגיע לרגע שפל ואומר למריסה “אני מוותר”, בדיוק הייאוש שהילד מפקיד בו דרך הזדהות השלכתית (המושג שנלמד במצגת “החזקה והכלה”).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(מצגות הקורס: “מאפייני הנערים.ות”, “החזקה והכלה”;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כפי שנלמד במצגת “השאלת האימהות”, 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(כפי שהוצג במצגת “החזקה והכלה”). זהו ההיבט ההתפתחותי: מה שהתחיל כטיפול פיזי חיצוני נעשה עם הזמן מבנה פנימי (מצגות הקורס: “השאלת האימהות”, “החזקה והכלה”;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(מצגות הקורס: “השאלת האימהות”;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העיקרון המנחה, כפי שנלמד במצגת “אנשי הצוות”,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(מצגות הקורס: “אנשי הצוות”;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המאפיינים המרכזיים הנדרשים מאיש צוות, כפי שנלמדו במצגת “אנשי הצוות”,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b/>
          <w:sz w:val="24"/>
          <w:rFonts w:ascii="David" w:hAnsi="David" w:cs="David"/>
          <w:szCs w:val="24"/>
          <w:bCs/>
          <w:rtl w:val="1"/>
        </w:rPr>
        <w:t xml:space="preserve">מאפיין ראשון – היכולת ליציבות, בין עמידה לתנועה. </w:t>
      </w:r>
      <w:r>
        <w:rPr>
          <w:rFonts w:ascii="David" w:hAnsi="David"/>
          <w:b w:val="0"/>
          <w:sz w:val="24"/>
          <w:rFonts w:ascii="David" w:hAnsi="David" w:cs="David"/>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 היציבות שתוארה במצגת, עמדה פנימית ברורה ועקבית לצד גמישות והתאמה, בלי “הליכה אל הקצוות”, והצבת הגבול כאן היא “גבול כנתינה” ו“מעשה של אהבה” (“עבודה מתוך קשר”), לא שרירות. השפעה על התלמידים: מעבר מכאוס למבנה, סדר יום ורצף שמייצרים מרחב בטוח עם עוגנים ומחזקים אצלם את ה′אני′ (מצגות הקורס: “אנשי הצוות”, “עבודה מתוך קשר”; ביבי ואח′, 2016).</w:t>
      </w:r>
    </w:p>
    <w:p>
      <w:pPr>
        <w:spacing w:line="360" w:lineRule="auto" w:before="0" w:after="120"/>
        <w:jc w:val="both"/>
        <w:bidi w:val="1"/>
      </w:pPr>
      <w:r>
        <w:rPr>
          <w:rFonts w:ascii="David" w:hAnsi="David"/>
          <w:b/>
          <w:sz w:val="24"/>
          <w:rFonts w:ascii="David" w:hAnsi="David" w:cs="David"/>
          <w:szCs w:val="24"/>
          <w:bCs/>
          <w:rtl w:val="1"/>
        </w:rPr>
        <w:t xml:space="preserve">מאפיין שני – היכולת להיות משמעותי ולשאת תלות. </w:t>
      </w:r>
      <w:r>
        <w:rPr>
          <w:rFonts w:ascii="David" w:hAnsi="David"/>
          <w:b w:val="0"/>
          <w:sz w:val="24"/>
          <w:rFonts w:ascii="David" w:hAnsi="David" w:cs="David"/>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(מצגות הקורס: “אנשי הצוות”; Calheiros et al., 2021).</w:t>
      </w:r>
    </w:p>
    <w:p>
      <w:pPr>
        <w:spacing w:line="360" w:lineRule="auto" w:before="0" w:after="120"/>
        <w:jc w:val="both"/>
        <w:bidi w:val="1"/>
      </w:pPr>
      <w:r>
        <w:rPr>
          <w:rFonts w:ascii="David" w:hAnsi="David"/>
          <w:b/>
          <w:sz w:val="24"/>
          <w:rFonts w:ascii="David" w:hAnsi="David" w:cs="David"/>
          <w:szCs w:val="24"/>
          <w:bCs/>
          <w:rtl w:val="1"/>
        </w:rPr>
        <w:t xml:space="preserve">מאפיין שלישי – היכולת להתמסר, הבחירה להעניק. </w:t>
      </w:r>
      <w:r>
        <w:rPr>
          <w:rFonts w:ascii="David" w:hAnsi="David"/>
          <w:b w:val="0"/>
          <w:sz w:val="24"/>
          <w:rFonts w:ascii="David" w:hAnsi="David" w:cs="David"/>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(מצגות הקורס: “אנשי הצוות”; ויניקוט, 1971).</w:t>
      </w:r>
    </w:p>
    <w:p>
      <w:pPr>
        <w:spacing w:line="360" w:lineRule="auto" w:before="0" w:after="120"/>
        <w:jc w:val="both"/>
        <w:bidi w:val="1"/>
      </w:pPr>
      <w:r>
        <w:rPr>
          <w:rFonts w:ascii="David" w:hAnsi="David"/>
          <w:b/>
          <w:sz w:val="24"/>
          <w:rFonts w:ascii="David" w:hAnsi="David" w:cs="David"/>
          <w:szCs w:val="24"/>
          <w:bCs/>
          <w:rtl w:val="1"/>
        </w:rPr>
        <w:t xml:space="preserve">ג. ומה אתי? (רפלקציה אישית). </w:t>
      </w:r>
      <w:r>
        <w:rPr>
          <w:rFonts w:ascii="David" w:hAnsi="David"/>
          <w:b w:val="0"/>
          <w:sz w:val="24"/>
          <w:rFonts w:ascii="David" w:hAnsi="David" w:cs="David"/>
          <w:szCs w:val="24"/>
          <w:rtl w:val="1"/>
        </w:rPr>
        <w:t>[חלק זה יש להתאים אישית] מאפיין שאני מרגיש/ה שקיים בי הוא היכולת ליציבות. אני נוטה להחזיק גבול ברוגע גם כשסוער, ולחפש דרך יצירתית במקום להיגרר ל“מאבק כוחות”, כלומר לנוע בין עמידה לתנועה בלי ליפול ל“הליכה אל הקצוות”. מאפיין שחסר לי, לפחות חלקית, הוא היכולת לשאת תלות ולהיות משמעותי. יש בי חשש להיות המוקד שאליו נער מפנה תלות מוחלטת, ולעיתים אני שומר/ת מרחק כדי לא להסתכן. אני מבין/ה שזה קשור גם לצורך שלי ב“תגמול חיצוני”, בעוד שבעבודה הזאת ה“תגמול הפנימי” הוא הכוח המניע, וכדי לפתח את היכולת הזאת אני זקוק/ה בעצמי לסביבה יציבה ולהדרכה (מצגות הקורס: “אנשי הצוות”; ביבי ואח′, 2016).</w:t>
      </w:r>
    </w:p>
    <w:p>
      <w:pPr>
        <w:spacing w:line="360" w:lineRule="auto" w:before="160" w:after="80"/>
        <w:jc w:val="right"/>
        <w:bidi w:val="1"/>
      </w:pPr>
      <w:r>
        <w:rPr>
          <w:rFonts w:ascii="David" w:hAnsi="David"/>
          <w:b/>
          <w:sz w:val="26"/>
          <w:rFonts w:ascii="David" w:hAnsi="David" w:cs="David"/>
          <w:szCs w:val="26"/>
          <w:bCs/>
          <w:rtl w:val="1"/>
        </w:rPr>
        <w:t>שאלה 4 – שאלת רפלקציה</w:t>
      </w:r>
    </w:p>
    <w:p>
      <w:pPr>
        <w:spacing w:line="360" w:lineRule="auto" w:before="0" w:after="80"/>
        <w:jc w:val="right"/>
        <w:bidi w:val="1"/>
      </w:pPr>
      <w:r>
        <w:rPr>
          <w:rFonts w:ascii="David" w:hAnsi="David"/>
          <w:b/>
          <w:sz w:val="22"/>
          <w:rFonts w:ascii="David" w:hAnsi="David" w:cs="David"/>
          <w:szCs w:val="22"/>
          <w:bCs/>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sz w:val="24"/>
          <w:rFonts w:ascii="David" w:hAnsi="David" w:cs="David"/>
          <w:szCs w:val="24"/>
          <w:bCs/>
          <w:rtl w:val="1"/>
        </w:rPr>
        <w:t xml:space="preserve">מה שחידש לי. </w:t>
      </w:r>
      <w:r>
        <w:rPr>
          <w:rFonts w:ascii="David" w:hAnsi="David"/>
          <w:b w:val="0"/>
          <w:sz w:val="24"/>
          <w:rFonts w:ascii="David" w:hAnsi="David" w:cs="David"/>
          <w:szCs w:val="24"/>
          <w:rtl w:val="1"/>
        </w:rPr>
        <w:t>ברמה התיאורטית, הדבר שחידש והפתיע אותי יותר מכול הוא הרעיון ש“התנהגות היא שפה”. עד הקורס נטיתי לראות התפרצות או חוצפה כ“בעיית משמעת” שצריך לעצור, והיום אני שומע/ת מתחתה שאלה: מה הילד מנסה לספר ואיזה חוסר הוא מבטא. ברמה האישית נגע לליבי להבין כמה מהתגובות שלי לילדים נובעות מיחסי האובייקט המוקדמים שלי עצמי, ושגם אני, כאיש צוות, זקוק/ה להיות מוחזק/ת. דוגמה קונקרטית לשינוי תפיסה: מול נער שהתפרץ עליי בעבר הייתי מגיב/ה מיד בגבול ובעונש, והיום הייתי מתכוונן/ת ומכיל/ה קודם, ורק אז מציב/ה גבול כמעשה מיטיב (מצגות הקורס: “מאפייני הנערים.ות”).</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sz w:val="24"/>
          <w:rFonts w:ascii="David" w:hAnsi="David" w:cs="David"/>
          <w:szCs w:val="24"/>
          <w:bCs/>
          <w:rtl w:val="1"/>
        </w:rPr>
        <w:t xml:space="preserve">הקשר בין התיאוריה לפרקטיקה. </w:t>
      </w:r>
      <w:r>
        <w:rPr>
          <w:rFonts w:ascii="David" w:hAnsi="David"/>
          <w:b w:val="0"/>
          <w:sz w:val="24"/>
          <w:rFonts w:ascii="David" w:hAnsi="David" w:cs="David"/>
          <w:szCs w:val="24"/>
          <w:rtl w:val="1"/>
        </w:rPr>
        <w:t>בעבודתי עם הנוער הקשר הזה מתבטא בשגרה, בסדר היום ובגבולות היומיומיים, שאני מבין/ה עכשיו כ-handling ו-holding ולא כ“רעש במערכת”, ובהבנה שהצבת גבול היא “נתינה”. גם מול הרס אני מנסה “לשרוד” בלי להישבר ולראות בהתנהגות מופע שמספר סיפור, במקום עבירת משמעת שיש להעניש (מצגות הקורס: “עבודה מתוך קשר”, “השאלת האימהות”).</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sz w:val="24"/>
          <w:rFonts w:ascii="David" w:hAnsi="David" w:cs="David"/>
          <w:szCs w:val="24"/>
          <w:bCs/>
          <w:rtl w:val="1"/>
        </w:rPr>
        <w:t xml:space="preserve">מה שהיה חסר. </w:t>
      </w:r>
      <w:r>
        <w:rPr>
          <w:rFonts w:ascii="David" w:hAnsi="David"/>
          <w:b w:val="0"/>
          <w:sz w:val="24"/>
          <w:rFonts w:ascii="David" w:hAnsi="David" w:cs="David"/>
          <w:szCs w:val="24"/>
          <w:rtl w:val="1"/>
        </w:rPr>
        <w:t>הייתי רוצה שנרחיב בכלים מעשיים לרגעים של הצפה בזמן אמת, וכן במקום מובנה לעבד את מה שהעבודה הזאת מעוררת בנו כאנשי צוות, אולי דרך הדרכה קבוצתית כ-on-going-process.</w:t>
      </w:r>
    </w:p>
    <w:p>
      <w:pPr>
        <w:spacing w:line="360" w:lineRule="auto" w:before="0" w:after="120"/>
        <w:jc w:val="both"/>
        <w:bidi w:val="1"/>
      </w:pPr>
      <w:r>
        <w:rPr>
          <w:rFonts w:ascii="David" w:hAnsi="David"/>
          <w:b/>
          <w:sz w:val="24"/>
          <w:rFonts w:ascii="David" w:hAnsi="David" w:cs="David"/>
          <w:szCs w:val="24"/>
          <w:bCs/>
          <w:rtl w:val="1"/>
        </w:rPr>
        <w:t xml:space="preserve">ד. </w:t>
      </w:r>
      <w:r>
        <w:rPr>
          <w:rFonts w:ascii="David" w:hAnsi="David"/>
          <w:b/>
          <w:sz w:val="24"/>
          <w:rFonts w:ascii="David" w:hAnsi="David" w:cs="David"/>
          <w:szCs w:val="24"/>
          <w:bCs/>
          <w:rtl w:val="1"/>
        </w:rPr>
        <w:t xml:space="preserve">הערה לסיום. </w:t>
      </w:r>
      <w:r>
        <w:rPr>
          <w:rFonts w:ascii="David" w:hAnsi="David"/>
          <w:b w:val="0"/>
          <w:sz w:val="24"/>
          <w:rFonts w:ascii="David" w:hAnsi="David" w:cs="David"/>
          <w:szCs w:val="24"/>
          <w:rtl w:val="1"/>
        </w:rPr>
        <w:t>מה שהשפיע עליי יותר מכול הוא שהקורס נתן לי שפה למה שכבר עשיתי באינטואיציה, וההבנה שהעבודה הפשוטה והיומיומית היא עצמה הטיפול (מצגות הקורס; ביון, 1962; ביבי ואח′, 2016).</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אנשל, א′ (תשפ“ו). מצגות הקורס “נוער בסיכון: נושאים מתקדמים”: “עבודה מתוך קשר”, “מאפייני הנערים.ות”, “אנשי הצוות” (“השאלת האימהות”, “החזקה והכלה”, “תפקידי המדריך”). חומר לימוד לא מפורסם.</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gree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gree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gree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gree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gree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gree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gree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gree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