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200"/>
        <w:jc w:val="center"/>
      </w:pPr>
      <w:r>
        <w:drawing>
          <wp:inline distT="0" distB="0" distL="0" distR="0">
            <wp:extent cx="12382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28725"/>
                    </a:xfrm>
                    <a:prstGeom prst="rect">
                      <a:avLst/>
                    </a:prstGeom>
                  </pic:spPr>
                </pic:pic>
              </a:graphicData>
            </a:graphic>
          </wp:inline>
        </w:drawing>
      </w:r>
    </w:p>
    <w:p>
      <w:pPr>
        <w:bidi/>
        <w:spacing w:after="80" w:line="300"/>
        <w:jc w:val="center"/>
      </w:pPr>
      <w:r>
        <w:rPr>
          <w:rFonts w:ascii="Simplified Arabic" w:cs="Simplified Arabic" w:eastAsia="Simplified Arabic" w:hAnsi="Simplified Arabic"/>
          <w:b/>
          <w:bCs/>
          <w:sz w:val="36"/>
          <w:szCs w:val="36"/>
          <w:rtl/>
        </w:rPr>
        <w:t xml:space="preserve">أكاديميّة القاسمي</w:t>
      </w:r>
    </w:p>
    <w:p>
      <w:pPr>
        <w:bidi/>
        <w:spacing w:after="80" w:line="300"/>
        <w:jc w:val="center"/>
      </w:pPr>
      <w:r>
        <w:rPr>
          <w:rFonts w:ascii="Simplified Arabic" w:cs="Simplified Arabic" w:eastAsia="Simplified Arabic" w:hAnsi="Simplified Arabic"/>
          <w:b/>
          <w:bCs/>
          <w:sz w:val="32"/>
          <w:szCs w:val="32"/>
          <w:rtl/>
        </w:rPr>
        <w:t xml:space="preserve">كلّيّة أكاديميّة للتربية</w:t>
      </w:r>
    </w:p>
    <w:p/>
    <w:p/>
    <w:p>
      <w:pPr>
        <w:bidi/>
        <w:spacing w:after="80" w:line="300"/>
        <w:jc w:val="center"/>
      </w:pPr>
      <w:r>
        <w:rPr>
          <w:rFonts w:ascii="Simplified Arabic" w:cs="Simplified Arabic" w:eastAsia="Simplified Arabic" w:hAnsi="Simplified Arabic"/>
          <w:b/>
          <w:bCs/>
          <w:sz w:val="26"/>
          <w:szCs w:val="26"/>
          <w:rtl/>
        </w:rPr>
        <w:t xml:space="preserve">بحث بعنوان:</w:t>
      </w:r>
    </w:p>
    <w:p>
      <w:pPr>
        <w:bidi/>
        <w:spacing w:after="80" w:line="30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80" w:line="300"/>
        <w:jc w:val="center"/>
      </w:pPr>
      <w:r>
        <w:rPr>
          <w:rFonts w:ascii="Simplified Arabic" w:cs="Simplified Arabic" w:eastAsia="Simplified Arabic" w:hAnsi="Simplified Arabic"/>
          <w:b/>
          <w:bCs/>
          <w:sz w:val="26"/>
          <w:szCs w:val="26"/>
          <w:rtl/>
        </w:rPr>
        <w:t xml:space="preserve">ضمن مساق:</w:t>
      </w:r>
    </w:p>
    <w:p>
      <w:pPr>
        <w:bidi/>
        <w:spacing w:after="80" w:line="30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80" w:line="300"/>
        <w:jc w:val="center"/>
      </w:pPr>
      <w:r>
        <w:rPr>
          <w:rFonts w:ascii="Simplified Arabic" w:cs="Simplified Arabic" w:eastAsia="Simplified Arabic" w:hAnsi="Simplified Arabic"/>
          <w:b/>
          <w:bCs/>
          <w:sz w:val="26"/>
          <w:szCs w:val="26"/>
          <w:rtl/>
        </w:rPr>
        <w:t xml:space="preserve">إعداد الطالب:</w:t>
      </w:r>
    </w:p>
    <w:p>
      <w:pPr>
        <w:bidi/>
        <w:spacing w:after="80" w:line="300"/>
        <w:jc w:val="center"/>
      </w:pPr>
      <w:r>
        <w:rPr>
          <w:rFonts w:ascii="Simplified Arabic" w:cs="Simplified Arabic" w:eastAsia="Simplified Arabic" w:hAnsi="Simplified Arabic"/>
          <w:b/>
          <w:bCs/>
          <w:sz w:val="28"/>
          <w:szCs w:val="28"/>
          <w:rtl/>
        </w:rPr>
        <w:t xml:space="preserve">عبد المهدي دحلة</w:t>
      </w:r>
    </w:p>
    <w:p>
      <w:pPr>
        <w:bidi/>
        <w:spacing w:after="80" w:line="300"/>
        <w:jc w:val="center"/>
      </w:pPr>
      <w:r>
        <w:rPr>
          <w:rFonts w:ascii="Simplified Arabic" w:cs="Simplified Arabic" w:eastAsia="Simplified Arabic" w:hAnsi="Simplified Arabic"/>
          <w:b/>
          <w:bCs/>
          <w:sz w:val="26"/>
          <w:szCs w:val="26"/>
          <w:rtl/>
        </w:rPr>
        <w:t xml:space="preserve">رقم هويّة: 212684527</w:t>
      </w:r>
    </w:p>
    <w:p>
      <w:pPr>
        <w:bidi/>
        <w:spacing w:after="80" w:line="300"/>
        <w:jc w:val="center"/>
      </w:pPr>
      <w:r>
        <w:rPr>
          <w:rFonts w:ascii="Simplified Arabic" w:cs="Simplified Arabic" w:eastAsia="Simplified Arabic" w:hAnsi="Simplified Arabic"/>
          <w:b/>
          <w:bCs/>
          <w:sz w:val="26"/>
          <w:szCs w:val="26"/>
          <w:rtl/>
        </w:rPr>
        <w:t xml:space="preserve">التخصص: دين ولغة عربية</w:t>
      </w:r>
    </w:p>
    <w:p/>
    <w:p>
      <w:pPr>
        <w:bidi/>
        <w:spacing w:after="80" w:line="300"/>
        <w:jc w:val="center"/>
      </w:pPr>
      <w:r>
        <w:rPr>
          <w:rFonts w:ascii="Simplified Arabic" w:cs="Simplified Arabic" w:eastAsia="Simplified Arabic" w:hAnsi="Simplified Arabic"/>
          <w:b/>
          <w:bCs/>
          <w:sz w:val="26"/>
          <w:szCs w:val="26"/>
          <w:rtl/>
        </w:rPr>
        <w:t xml:space="preserve">مقدمة إلى:</w:t>
      </w:r>
    </w:p>
    <w:p>
      <w:pPr>
        <w:bidi/>
        <w:spacing w:after="80" w:line="300"/>
        <w:jc w:val="center"/>
      </w:pPr>
      <w:r>
        <w:rPr>
          <w:rFonts w:ascii="Simplified Arabic" w:cs="Simplified Arabic" w:eastAsia="Simplified Arabic" w:hAnsi="Simplified Arabic"/>
          <w:b/>
          <w:bCs/>
          <w:sz w:val="28"/>
          <w:szCs w:val="28"/>
          <w:rtl/>
        </w:rPr>
        <w:t xml:space="preserve">د. عوني أحمد مصاروة</w:t>
      </w:r>
    </w:p>
    <w:p/>
    <w:p>
      <w:pPr>
        <w:bidi/>
        <w:spacing w:after="80" w:line="300"/>
        <w:jc w:val="center"/>
      </w:pPr>
      <w:r>
        <w:rPr>
          <w:rFonts w:ascii="Simplified Arabic" w:cs="Simplified Arabic" w:eastAsia="Simplified Arabic" w:hAnsi="Simplified Arabic"/>
          <w:b/>
          <w:bCs/>
          <w:sz w:val="26"/>
          <w:szCs w:val="26"/>
          <w:rtl/>
        </w:rPr>
        <w:t xml:space="preserve">السّنة الدّراسية: 2026-2025 / 1447هـ</w:t>
      </w:r>
    </w:p>
    <w:p>
      <w:pPr>
        <w:bidi/>
        <w:spacing w:after="80" w:line="30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المقدّمة</w:t>
      </w:r>
    </w:p>
    <w:p>
      <w:pPr>
        <w:bidi/>
        <w:spacing w:after="0" w:line="480"/>
        <w:jc w:val="lowKashida"/>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0" w:line="480"/>
        <w:jc w:val="lowKashida"/>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0" w:line="480"/>
        <w:jc w:val="lowKashida"/>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0" w:line="480"/>
        <w:jc w:val="lowKashida"/>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0" w:line="480"/>
        <w:jc w:val="lowKashida"/>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ملخّص البحث</w:t>
      </w:r>
    </w:p>
    <w:p>
      <w:pPr>
        <w:bidi/>
        <w:spacing w:after="0" w:line="480"/>
        <w:jc w:val="lowKashida"/>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0" w:line="480"/>
        <w:jc w:val="lowKashida"/>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0" w:line="480"/>
        <w:jc w:val="lowKashida"/>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0" w:line="480"/>
        <w:jc w:val="lowKashida"/>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0" w:line="480"/>
        <w:jc w:val="lowKashida"/>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حدود البحث: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محتويات البحث</w:t>
      </w:r>
    </w:p>
    <w:p>
      <w:pPr>
        <w:bidi/>
        <w:spacing w:after="0" w:line="480"/>
        <w:jc w:val="lowKashida"/>
      </w:pPr>
      <w:r>
        <w:rPr>
          <w:rFonts w:ascii="Simplified Arabic" w:cs="Simplified Arabic" w:eastAsia="Simplified Arabic" w:hAnsi="Simplified Arabic"/>
          <w:b w:val="false"/>
          <w:bCs w:val="false"/>
          <w:sz w:val="28"/>
          <w:szCs w:val="28"/>
          <w:rtl/>
        </w:rPr>
        <w:t xml:space="preserve">يعرض الجدول الآتي التقسيم الكامل للبحث وفق الفصول والمباحث والمطالب، كما هو معمول به في منهجية المساق:</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الأوّل: تعريفات أساسيّة وتعريفات ذات صلة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تعريفات أساسيّة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الأحكام.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الفقهيّة.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النزع.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الأجهزة الطبيّة.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الميت.</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التعريف المركّب "نزع الأجهزة الطبيّة عن الميت سريريًّا".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مراتب الحياة عند الفقهاء وتعلّقها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تعريفات ذات صلة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الدماغيّ.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الإنعاش القلبيّ الرئويّ.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أجهزة الإنعاش الصناعيّ.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الحالة النباتيّة (الغيبوبة المستديمة).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الاحتضار.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السادس: موت الرحمة (القتل الرحيم).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السابع: العناية المركّزة.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الثامن: زراعة الأعضاء.</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التاسع: جذع الدماغ.</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العاشر: الغيبوبة.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الحادي عشر: التداوي.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عشر: العلاج التلطيفيّ.</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الثاني (التمهيديّ): نشأة المسألة وتاريخها وربطها بالشرائع السماويّة والتشريعات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تاريخ ظهور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وعلاماته قبل ظهور أجهزة الإنعاش.</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ظهور الإنعاش الصناعيّ والعناية المركّزة في القرن العشرين.</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دخول المسألة الفقه الإسلاميّ المعاصر.</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الموت في نصوص الكتاب والسنّة.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الموت وأحكامه في الشرائع السماويّة والتشريعات الوضعيّة القديمة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الموت وتحديده في الشريعة اليهوديّة.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الموت والوسائل الاستثنائيّة في المسيحيّة.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التشريعات الوضعيّة القديمة.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الثالث: الآثار المتعلقة بنزع الأجهزة الطبيّة عن الميت سريريًّا</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الآثار الفقهيّة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الآثار الطبيّة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الآثار الاجتماعيّة والنفسيّة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الآثار القانونيّة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الخامس: الآثار الاقتصاديّة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السادس: الآثار العلميّة والتقنيّة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الرابع: التأصيل الفقهيّ للمسألة، تحرير المسألة، أقوال الفقهاء، وموقف القانون والطبّ</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تأصيل المسألة فقهيًّا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تصوير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فلسفة مقاصد الشريعة الإسلاميّة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ربط المسألة بالواقع.</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تحرير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محلّ الاتفاق.</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محلّ النزاع.</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أسباب الاختلاف.</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التكييف الفقهيّ.</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الخامس: الأدلّة العامّة والقواعد الفقهيّة المتعلقة بالمسألة.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الثالث: أقوال الفقهاء في المسألة والقول الراجح</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بيان أقوال الفقهاء المؤيّدين (لجواز النزع)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بيان أقوال الفقهاء المعارضين وأدلّتهم ومناقشتها.</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الردّ على الأدلّة.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القول الراجح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الرابع: موقف القانون والطبّ والاجتماع والعلم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الموقف والأقوال القانونيّة (قوانين سبع دول).</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الموقف والأقوال الطبيّة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الموقف والأقوال الاجتماعيّة في المسألة.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الموقف والأقوال العلميّة والتقنيّة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الفصل الخامس: الفتاوى المؤيّدة والمعارضة في المسألة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الأوّل: الفتاوى والقرارات المؤيّدة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مجمع الفقه الإسلاميّ الدوليّ (عمّان 1986م).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توصية ندوة المنظمة الإسلاميّة للعلوم الطبيّة (الكويت 1985م).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دار الإفتاء المصريّة.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الرابع: قرار مجلس الإفتاء والبحوث والدراسات الإسلاميّة الأردنيّ رقم (117).</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المبحث الثاني: الفتاوى والقرارات المعارضة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الأوّل: قرار المجمع الفقهيّ برابطة العالم الإسلاميّ (مكة 1987م).</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الثاني: فتوى اللجنة الدائمة للبحوث العلميّة والإفتاء (السعوديّة).</w:t>
            </w:r>
          </w:p>
        </w:tc>
      </w:tr>
      <w:tr>
        <w:tc>
          <w:tcPr>
            <w:tcW w:type="dxa" w:w="9000"/>
          </w:tcPr>
          <w:p>
            <w:pPr>
              <w:bidi/>
              <w:spacing w:after="60" w:before="60" w:line="360"/>
              <w:jc w:val="right"/>
            </w:pPr>
            <w:r>
              <w:rPr>
                <w:rFonts w:ascii="Simplified Arabic" w:cs="Simplified Arabic" w:eastAsia="Simplified Arabic" w:hAnsi="Simplified Arabic"/>
                <w:b w:val="false"/>
                <w:bCs w:val="false"/>
                <w:sz w:val="26"/>
                <w:szCs w:val="26"/>
                <w:rtl/>
              </w:rPr>
              <w:t xml:space="preserve">- المطلب الثالث: فتوى الشيخ محمد بن صالح ابن عثيمين رحمه الله.</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الخاتمة</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النتائج</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التوصيات</w:t>
            </w:r>
          </w:p>
        </w:tc>
      </w:tr>
      <w:tr>
        <w:tc>
          <w:tcPr>
            <w:tcW w:type="dxa" w:w="9000"/>
          </w:tcPr>
          <w:p>
            <w:pPr>
              <w:bidi/>
              <w:spacing w:after="60" w:before="60" w:line="360"/>
              <w:jc w:val="center"/>
            </w:pPr>
            <w:r>
              <w:rPr>
                <w:rFonts w:ascii="Simplified Arabic" w:cs="Simplified Arabic" w:eastAsia="Simplified Arabic" w:hAnsi="Simplified Arabic"/>
                <w:b/>
                <w:bCs/>
                <w:sz w:val="26"/>
                <w:szCs w:val="26"/>
                <w:rtl/>
              </w:rPr>
              <w:t xml:space="preserve">الفهارس</w:t>
            </w:r>
          </w:p>
        </w:tc>
      </w:tr>
    </w:tbl>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0" w:line="480"/>
        <w:jc w:val="lowKashida"/>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0" w:line="480"/>
        <w:jc w:val="lowKashida"/>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dk1r_nq81jqhq6atozuz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https://journals.ekb.eg/article_368941_0.html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0" w:line="480"/>
        <w:jc w:val="lowKashida"/>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vkgs-theo7qrarpjki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https://mjle.journals.ekb.eg/article_368941_50690f4113b5efc26ad3acb040dabad4.pdf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0" w:line="480"/>
        <w:jc w:val="lowKashida"/>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umneb2d4dwctqzjwtdd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https://search.mandumah.com/Record/1633970 )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0" w:line="480"/>
        <w:jc w:val="lowKashida"/>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x1jmvwvid5xjctx4yts7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https://doi.org/10.65414/najsp.v2i4.281 )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0" w:line="480"/>
        <w:jc w:val="lowKashida"/>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ue-z3o9cggzfod49mivz">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https://doi.org/10.61353/ma.0000141 )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0" w:line="480"/>
        <w:jc w:val="lowKashida"/>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sczd2lz3si9gsjsywvril">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https://www.researchgate.net/publication/393318043 )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0" w:line="480"/>
        <w:jc w:val="lowKashida"/>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f4ziyosehpqkx3saik6m">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https://bcchj.uobabylon.edu.iq/index.php/bcchj/ar/article/view/1016 )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0" w:line="480"/>
        <w:jc w:val="lowKashida"/>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l_jzolnoua1hqw5jzki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https://asjp.cerist.dz/en/article/198662 )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0" w:line="480"/>
        <w:jc w:val="lowKashida"/>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kdgsqtbhvdmvrxxmjdkr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https://search.mandumah.com/Record/1232048 )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0" w:line="480"/>
        <w:jc w:val="lowKashida"/>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m4m7qw-jaorj3mdw2px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https://journals.alqasimia.ac.ae/index.php/ssis/article/view/66 )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0" w:line="480"/>
        <w:jc w:val="lowKashida"/>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g-83mvyhhguhyojccyhw5">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https://www.ajrsp.com/vol/issue31/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0" w:line="480"/>
        <w:jc w:val="lowKashida"/>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jizacpfehbzwcqqtghls">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https://dspace.univ-eloued.dz/handle/123456789/15831 )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0" w:line="480"/>
        <w:jc w:val="lowKashida"/>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rgcfzfgupp58vbtg-nlfj">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https://asjp.cerist.dz/en/article/91461 )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0" w:line="480"/>
        <w:jc w:val="lowKashida"/>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zf1p1tbrcafq7km-8rlj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https://asjp.cerist.dz/en/article/26599 )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0" w:line="480"/>
        <w:jc w:val="lowKashida"/>
      </w:pPr>
      <w:r>
        <w:rPr>
          <w:rFonts w:ascii="Simplified Arabic" w:cs="Simplified Arabic" w:eastAsia="Simplified Arabic" w:hAnsi="Simplified Arabic"/>
          <w:b/>
          <w:bCs/>
          <w:sz w:val="28"/>
          <w:szCs w:val="28"/>
          <w:rtl/>
        </w:rPr>
        <w:t xml:space="preserve">15. الموت الدماغيّ بين الطبّ والدين</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fz_osls7zjgqmin7wgl4p">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https://www.damascusuniversity.edu.sy/mag/law/images/stories/479-500.pdf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0" w:line="480"/>
        <w:jc w:val="lowKashida"/>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xoybsiiueexiikabjhh">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https://search.mandumah.com/Record/167975 )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0" w:line="480"/>
        <w:jc w:val="lowKashida"/>
      </w:pPr>
      <w:r>
        <w:rPr>
          <w:rFonts w:ascii="Simplified Arabic" w:cs="Simplified Arabic" w:eastAsia="Simplified Arabic" w:hAnsi="Simplified Arabic"/>
          <w:b/>
          <w:bCs/>
          <w:sz w:val="28"/>
          <w:szCs w:val="28"/>
          <w:rtl/>
        </w:rPr>
        <w:t xml:space="preserve">17. التعريف الطبيّ للموت</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wt9rsx8t3cxspszbgnrjq">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https://iifa-aifi.org/ar/journal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0" w:line="480"/>
        <w:jc w:val="lowKashida"/>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esz_wfhlysujbf0ut5iwy">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https://www.cambridge.org/core/services/aop-cambridge-core/content/view/F891733330C5E4ADCB8C5BB0235E271F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0" w:line="480"/>
        <w:jc w:val="lowKashida"/>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c-dhznizsx_5wqtnsz08">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https://doi.org/10.3389/fneur.2024.1491263 )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0" w:line="480"/>
        <w:jc w:val="lowKashida"/>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qhyy3bsvkun_7ozutwh24">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https://www.walshmedicalmedia.com/open-access/clinical-death-a-reversible-state-of-cardiac-arrest-119791.html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0" w:line="480"/>
        <w:jc w:val="lowKashida"/>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xyuzkprpfzv88k3isvxe">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https://doi.org/10.1212/WNL.0000000000207740 )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0" w:line="480"/>
        <w:jc w:val="lowKashida"/>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oeww_8x4wvipxfk273uf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https://doi.org/10.1001/jama.2020.11586 )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0" w:line="480"/>
        <w:jc w:val="lowKashida"/>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u0-sxrv0v7p0ulg-sp51i">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https://doi.org/10.1038/nrneurol.2017.172 )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0" w:line="480"/>
        <w:jc w:val="lowKashida"/>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ncstkuw0uxyxbji6rl4so">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https://pmc.ncbi.nlm.nih.gov/articles/PMC7595719/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0" w:line="480"/>
        <w:jc w:val="lowKashida"/>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9rzbnzepoailekncaibyn">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https://doi.org/10.1212/WNL.0000000000006750 )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0" w:line="480"/>
        <w:jc w:val="lowKashida"/>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1p4wrg4v8dikaog0yfpmf">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https://doi.org/10.2147/MB.S70369 )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0" w:line="480"/>
        <w:jc w:val="lowKashida"/>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0" w:line="480"/>
        <w:jc w:val="lowKashida"/>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right"/>
      </w:pPr>
      <w:r>
        <w:rPr>
          <w:rFonts w:ascii="Simplified Arabic" w:cs="Simplified Arabic" w:eastAsia="Simplified Arabic" w:hAnsi="Simplified Arabic"/>
          <w:b w:val="false"/>
          <w:bCs w:val="false"/>
          <w:sz w:val="28"/>
          <w:szCs w:val="28"/>
          <w:rtl/>
        </w:rPr>
        <w:t xml:space="preserve">رابط الدراسة: </w:t>
      </w:r>
      <w:hyperlink w:history="1" r:id="rIdm7fetu4_sr34xz0t7uwmd">
        <w:r>
          <w:rPr>
            <w:rFonts w:ascii="Simplified Arabic" w:cs="Simplified Arabic" w:eastAsia="Simplified Arabic" w:hAnsi="Simplified Arabic"/>
            <w:b/>
            <w:bCs/>
            <w:color w:val="0563C1"/>
            <w:sz w:val="28"/>
            <w:szCs w:val="28"/>
            <w:u w:val="single"/>
            <w:rtl/>
          </w:rPr>
          <w:t xml:space="preserve">موقع الدراسة</w:t>
        </w:r>
      </w:hyperlink>
      <w:r>
        <w:rPr>
          <w:rFonts w:ascii="Simplified Arabic" w:cs="Simplified Arabic" w:eastAsia="Simplified Arabic" w:hAnsi="Simplified Arabic"/>
          <w:b w:val="false"/>
          <w:bCs w:val="false"/>
          <w:sz w:val="28"/>
          <w:szCs w:val="28"/>
          <w:rtl/>
        </w:rPr>
        <w:t xml:space="preserve"> ( http://jama.jamanetwork.com/article.aspx?articleid=1818922 )</w:t>
      </w:r>
    </w:p>
    <w:p>
      <w:pPr>
        <w:bidi/>
        <w:spacing w:after="0" w:line="480"/>
        <w:jc w:val="lowKashida"/>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الأحكام.</w:t>
      </w:r>
    </w:p>
    <w:p>
      <w:pPr>
        <w:bidi/>
        <w:spacing w:after="80" w:line="300"/>
        <w:jc w:val="center"/>
      </w:pPr>
      <w:r>
        <w:rPr>
          <w:rFonts w:ascii="Simplified Arabic" w:cs="Simplified Arabic" w:eastAsia="Simplified Arabic" w:hAnsi="Simplified Arabic"/>
          <w:b/>
          <w:bCs/>
          <w:sz w:val="28"/>
          <w:szCs w:val="28"/>
          <w:rtl/>
        </w:rPr>
        <w:t xml:space="preserve">المطلب الثاني: الفقهيّة.</w:t>
      </w:r>
    </w:p>
    <w:p>
      <w:pPr>
        <w:bidi/>
        <w:spacing w:after="80" w:line="300"/>
        <w:jc w:val="center"/>
      </w:pPr>
      <w:r>
        <w:rPr>
          <w:rFonts w:ascii="Simplified Arabic" w:cs="Simplified Arabic" w:eastAsia="Simplified Arabic" w:hAnsi="Simplified Arabic"/>
          <w:b/>
          <w:bCs/>
          <w:sz w:val="28"/>
          <w:szCs w:val="28"/>
          <w:rtl/>
        </w:rPr>
        <w:t xml:space="preserve">المطلب الثالث: النزع.</w:t>
      </w:r>
    </w:p>
    <w:p>
      <w:pPr>
        <w:bidi/>
        <w:spacing w:after="80" w:line="300"/>
        <w:jc w:val="center"/>
      </w:pPr>
      <w:r>
        <w:rPr>
          <w:rFonts w:ascii="Simplified Arabic" w:cs="Simplified Arabic" w:eastAsia="Simplified Arabic" w:hAnsi="Simplified Arabic"/>
          <w:b/>
          <w:bCs/>
          <w:sz w:val="28"/>
          <w:szCs w:val="28"/>
          <w:rtl/>
        </w:rPr>
        <w:t xml:space="preserve">المطلب الرابع: الأجهزة الطبيّة.</w:t>
      </w:r>
    </w:p>
    <w:p>
      <w:pPr>
        <w:bidi/>
        <w:spacing w:after="80" w:line="300"/>
        <w:jc w:val="center"/>
      </w:pPr>
      <w:r>
        <w:rPr>
          <w:rFonts w:ascii="Simplified Arabic" w:cs="Simplified Arabic" w:eastAsia="Simplified Arabic" w:hAnsi="Simplified Arabic"/>
          <w:b/>
          <w:bCs/>
          <w:sz w:val="28"/>
          <w:szCs w:val="28"/>
          <w:rtl/>
        </w:rPr>
        <w:t xml:space="preserve">المطلب الخامس: الميت.</w:t>
      </w:r>
    </w:p>
    <w:p>
      <w:pPr>
        <w:bidi/>
        <w:spacing w:after="80" w:line="300"/>
        <w:jc w:val="center"/>
      </w:pPr>
      <w:r>
        <w:rPr>
          <w:rFonts w:ascii="Simplified Arabic" w:cs="Simplified Arabic" w:eastAsia="Simplified Arabic" w:hAnsi="Simplified Arabic"/>
          <w:b/>
          <w:bCs/>
          <w:sz w:val="28"/>
          <w:szCs w:val="28"/>
          <w:rtl/>
        </w:rPr>
        <w:t xml:space="preserve">المطلب السادس: سريريًّا.</w:t>
      </w:r>
    </w:p>
    <w:p>
      <w:pPr>
        <w:bidi/>
        <w:spacing w:after="80" w:line="300"/>
        <w:jc w:val="center"/>
      </w:pPr>
      <w:r>
        <w:rPr>
          <w:rFonts w:ascii="Simplified Arabic" w:cs="Simplified Arabic" w:eastAsia="Simplified Arabic" w:hAnsi="Simplified Arabic"/>
          <w:b/>
          <w:bCs/>
          <w:sz w:val="28"/>
          <w:szCs w:val="28"/>
          <w:rtl/>
        </w:rPr>
        <w:t xml:space="preserve">المطلب السابع: التعريف المركّب "نزع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المطلب الثامن: مراتب الحياة عند الفقهاء وتعلّقها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0" w:line="480"/>
        <w:jc w:val="lowKashida"/>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0" w:line="480"/>
        <w:jc w:val="lowKashida"/>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0" w:line="480"/>
        <w:jc w:val="lowKashida"/>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0" w:line="480"/>
        <w:jc w:val="lowKashida"/>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0" w:line="480"/>
        <w:jc w:val="lowKashida"/>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0" w:line="480"/>
        <w:jc w:val="lowKashida"/>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0" w:line="480"/>
        <w:jc w:val="lowKashida"/>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0" w:line="480"/>
        <w:jc w:val="lowKashida"/>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0" w:line="480"/>
        <w:jc w:val="lowKashida"/>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60" w:before="12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0" w:line="480"/>
        <w:jc w:val="lowKashida"/>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60" w:before="12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0" w:line="480"/>
        <w:jc w:val="lowKashida"/>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60" w:before="12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0" w:line="480"/>
        <w:jc w:val="lowKashida"/>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وتلخيصًا لما تقدّم نعقد مقارنة بين المصطلحات الثلاثة التي يكثر الخلط بينها: فالموت السريريّ بالمعنى الطبيّ الدقيق: توقفٌ للقلب والتنفّس قابلٌ للعكس بالإنعاش في دقائق معدودة، وصاحبه حيّ تجب مبادرته بالإسعاف؛ والموت الدماغيّ: تعطّل نهائيّ لا رجعة فيه لجميع وظائف الدماغ مع إمكان بقاء القلب نابضًا بالآلة، وهو محلّ بحثنا؛ والموت البيولوجيّ التامّ: توقف جميع الأجهزة والخلايا وبدء التحلّل، وهو الذي لا يختلف فيه اثنان. فالحالة الأولى طوارئ، والثالثة جنازة، والوسطى هي النازلة التي احتاجت اجتهاد العصر</w:t>
      </w:r>
      <w:r>
        <w:rPr>
          <w:rStyle w:val="FootnoteReference"/>
        </w:rPr>
        <w:footnoteReference w:id="18"/>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0" w:line="480"/>
        <w:jc w:val="lowKashida"/>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20"/>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3"/>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0" w:line="480"/>
        <w:jc w:val="lowKashida"/>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0" w:line="480"/>
        <w:jc w:val="lowKashida"/>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الدماغيّ.</w:t>
      </w:r>
    </w:p>
    <w:p>
      <w:pPr>
        <w:bidi/>
        <w:spacing w:after="80" w:line="300"/>
        <w:jc w:val="center"/>
      </w:pPr>
      <w:r>
        <w:rPr>
          <w:rFonts w:ascii="Simplified Arabic" w:cs="Simplified Arabic" w:eastAsia="Simplified Arabic" w:hAnsi="Simplified Arabic"/>
          <w:b/>
          <w:bCs/>
          <w:sz w:val="28"/>
          <w:szCs w:val="28"/>
          <w:rtl/>
        </w:rPr>
        <w:t xml:space="preserve">المطلب الثاني: الإنعاش القلبيّ الرئويّ.</w:t>
      </w:r>
    </w:p>
    <w:p>
      <w:pPr>
        <w:bidi/>
        <w:spacing w:after="80" w:line="300"/>
        <w:jc w:val="center"/>
      </w:pPr>
      <w:r>
        <w:rPr>
          <w:rFonts w:ascii="Simplified Arabic" w:cs="Simplified Arabic" w:eastAsia="Simplified Arabic" w:hAnsi="Simplified Arabic"/>
          <w:b/>
          <w:bCs/>
          <w:sz w:val="28"/>
          <w:szCs w:val="28"/>
          <w:rtl/>
        </w:rPr>
        <w:t xml:space="preserve">المطلب الثالث: أجهزة الإنعاش الصناعيّ.</w:t>
      </w:r>
    </w:p>
    <w:p>
      <w:pPr>
        <w:bidi/>
        <w:spacing w:after="80" w:line="300"/>
        <w:jc w:val="center"/>
      </w:pPr>
      <w:r>
        <w:rPr>
          <w:rFonts w:ascii="Simplified Arabic" w:cs="Simplified Arabic" w:eastAsia="Simplified Arabic" w:hAnsi="Simplified Arabic"/>
          <w:b/>
          <w:bCs/>
          <w:sz w:val="28"/>
          <w:szCs w:val="28"/>
          <w:rtl/>
        </w:rPr>
        <w:t xml:space="preserve">المطلب الرابع: الحالة النباتيّة (الغيبوبة المستديمة).</w:t>
      </w:r>
    </w:p>
    <w:p>
      <w:pPr>
        <w:bidi/>
        <w:spacing w:after="80" w:line="300"/>
        <w:jc w:val="center"/>
      </w:pPr>
      <w:r>
        <w:rPr>
          <w:rFonts w:ascii="Simplified Arabic" w:cs="Simplified Arabic" w:eastAsia="Simplified Arabic" w:hAnsi="Simplified Arabic"/>
          <w:b/>
          <w:bCs/>
          <w:sz w:val="28"/>
          <w:szCs w:val="28"/>
          <w:rtl/>
        </w:rPr>
        <w:t xml:space="preserve">المطلب الخامس: الاحتضار.</w:t>
      </w:r>
    </w:p>
    <w:p>
      <w:pPr>
        <w:bidi/>
        <w:spacing w:after="80" w:line="300"/>
        <w:jc w:val="center"/>
      </w:pPr>
      <w:r>
        <w:rPr>
          <w:rFonts w:ascii="Simplified Arabic" w:cs="Simplified Arabic" w:eastAsia="Simplified Arabic" w:hAnsi="Simplified Arabic"/>
          <w:b/>
          <w:bCs/>
          <w:sz w:val="28"/>
          <w:szCs w:val="28"/>
          <w:rtl/>
        </w:rPr>
        <w:t xml:space="preserve">المطلب السادس: موت الرحمة (القتل الرحيم).</w:t>
      </w:r>
    </w:p>
    <w:p>
      <w:pPr>
        <w:bidi/>
        <w:spacing w:after="80" w:line="300"/>
        <w:jc w:val="center"/>
      </w:pPr>
      <w:r>
        <w:rPr>
          <w:rFonts w:ascii="Simplified Arabic" w:cs="Simplified Arabic" w:eastAsia="Simplified Arabic" w:hAnsi="Simplified Arabic"/>
          <w:b/>
          <w:bCs/>
          <w:sz w:val="28"/>
          <w:szCs w:val="28"/>
          <w:rtl/>
        </w:rPr>
        <w:t xml:space="preserve">المطلب السابع: العناية المركّزة.</w:t>
      </w:r>
    </w:p>
    <w:p>
      <w:pPr>
        <w:bidi/>
        <w:spacing w:after="80" w:line="300"/>
        <w:jc w:val="center"/>
      </w:pPr>
      <w:r>
        <w:rPr>
          <w:rFonts w:ascii="Simplified Arabic" w:cs="Simplified Arabic" w:eastAsia="Simplified Arabic" w:hAnsi="Simplified Arabic"/>
          <w:b/>
          <w:bCs/>
          <w:sz w:val="28"/>
          <w:szCs w:val="28"/>
          <w:rtl/>
        </w:rPr>
        <w:t xml:space="preserve">المطلب الثامن: زراعة الأعضاء.</w:t>
      </w:r>
    </w:p>
    <w:p>
      <w:pPr>
        <w:bidi/>
        <w:spacing w:after="80" w:line="300"/>
        <w:jc w:val="center"/>
      </w:pPr>
      <w:r>
        <w:rPr>
          <w:rFonts w:ascii="Simplified Arabic" w:cs="Simplified Arabic" w:eastAsia="Simplified Arabic" w:hAnsi="Simplified Arabic"/>
          <w:b/>
          <w:bCs/>
          <w:sz w:val="28"/>
          <w:szCs w:val="28"/>
          <w:rtl/>
        </w:rPr>
        <w:t xml:space="preserve">المطلب التاسع: جذع الدماغ.</w:t>
      </w:r>
    </w:p>
    <w:p>
      <w:pPr>
        <w:bidi/>
        <w:spacing w:after="80" w:line="300"/>
        <w:jc w:val="center"/>
      </w:pPr>
      <w:r>
        <w:rPr>
          <w:rFonts w:ascii="Simplified Arabic" w:cs="Simplified Arabic" w:eastAsia="Simplified Arabic" w:hAnsi="Simplified Arabic"/>
          <w:b/>
          <w:bCs/>
          <w:sz w:val="28"/>
          <w:szCs w:val="28"/>
          <w:rtl/>
        </w:rPr>
        <w:t xml:space="preserve">المطلب العاشر: الغيبوبة.</w:t>
      </w:r>
    </w:p>
    <w:p>
      <w:pPr>
        <w:bidi/>
        <w:spacing w:after="80" w:line="300"/>
        <w:jc w:val="center"/>
      </w:pPr>
      <w:r>
        <w:rPr>
          <w:rFonts w:ascii="Simplified Arabic" w:cs="Simplified Arabic" w:eastAsia="Simplified Arabic" w:hAnsi="Simplified Arabic"/>
          <w:b/>
          <w:bCs/>
          <w:sz w:val="28"/>
          <w:szCs w:val="28"/>
          <w:rtl/>
        </w:rPr>
        <w:t xml:space="preserve">المطلب الحادي عشر: التداوي.</w:t>
      </w:r>
    </w:p>
    <w:p>
      <w:pPr>
        <w:bidi/>
        <w:spacing w:after="80" w:line="300"/>
        <w:jc w:val="center"/>
      </w:pPr>
      <w:r>
        <w:rPr>
          <w:rFonts w:ascii="Simplified Arabic" w:cs="Simplified Arabic" w:eastAsia="Simplified Arabic" w:hAnsi="Simplified Arabic"/>
          <w:b/>
          <w:bCs/>
          <w:sz w:val="28"/>
          <w:szCs w:val="28"/>
          <w:rtl/>
        </w:rPr>
        <w:t xml:space="preserve">المطلب الثاني عشر: العلاج التلطيفيّ.</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0" w:line="480"/>
        <w:jc w:val="lowKashida"/>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5"/>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0" w:line="480"/>
        <w:jc w:val="lowKashida"/>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7"/>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0" w:line="480"/>
        <w:jc w:val="lowKashida"/>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9"/>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0" w:line="480"/>
        <w:jc w:val="lowKashida"/>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3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31"/>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0" w:line="480"/>
        <w:jc w:val="lowKashida"/>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2"/>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0" w:line="480"/>
        <w:jc w:val="lowKashida"/>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0" w:line="480"/>
        <w:jc w:val="lowKashida"/>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0" w:line="480"/>
        <w:jc w:val="lowKashida"/>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5"/>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0" w:line="480"/>
        <w:jc w:val="lowKashida"/>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7"/>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0" w:line="480"/>
        <w:jc w:val="lowKashida"/>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0" w:line="480"/>
        <w:jc w:val="lowKashida"/>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40"/>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41"/>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0" w:line="480"/>
        <w:jc w:val="lowKashida"/>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2"/>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وعلاماته قبل ظهور أجهزة الإنعاش.</w:t>
      </w:r>
    </w:p>
    <w:p>
      <w:pPr>
        <w:bidi/>
        <w:spacing w:after="80" w:line="300"/>
        <w:jc w:val="center"/>
      </w:pPr>
      <w:r>
        <w:rPr>
          <w:rFonts w:ascii="Simplified Arabic" w:cs="Simplified Arabic" w:eastAsia="Simplified Arabic" w:hAnsi="Simplified Arabic"/>
          <w:b/>
          <w:bCs/>
          <w:sz w:val="28"/>
          <w:szCs w:val="28"/>
          <w:rtl/>
        </w:rPr>
        <w:t xml:space="preserve">المطلب الثاني: ظهور الإنعاش الصناعيّ والعناية المركّزة في القرن العشرين.</w:t>
      </w:r>
    </w:p>
    <w:p>
      <w:pPr>
        <w:bidi/>
        <w:spacing w:after="80" w:line="300"/>
        <w:jc w:val="center"/>
      </w:pPr>
      <w:r>
        <w:rPr>
          <w:rFonts w:ascii="Simplified Arabic" w:cs="Simplified Arabic" w:eastAsia="Simplified Arabic" w:hAnsi="Simplified Arabic"/>
          <w:b/>
          <w:bCs/>
          <w:sz w:val="28"/>
          <w:szCs w:val="28"/>
          <w:rtl/>
        </w:rPr>
        <w:t xml:space="preserve">المطلب الثالث: دخول المسألة الفقه الإسلاميّ المعاصر.</w:t>
      </w:r>
    </w:p>
    <w:p>
      <w:pPr>
        <w:bidi/>
        <w:spacing w:after="80" w:line="300"/>
        <w:jc w:val="center"/>
      </w:pPr>
      <w:r>
        <w:rPr>
          <w:rFonts w:ascii="Simplified Arabic" w:cs="Simplified Arabic" w:eastAsia="Simplified Arabic" w:hAnsi="Simplified Arabic"/>
          <w:b/>
          <w:bCs/>
          <w:sz w:val="28"/>
          <w:szCs w:val="28"/>
          <w:rtl/>
        </w:rPr>
        <w:t xml:space="preserve">المطلب الرابع: الموت في نصوص الكتاب والسنّة.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0" w:line="480"/>
        <w:jc w:val="lowKashida"/>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3"/>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5"/>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6"/>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7"/>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8"/>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0" w:line="480"/>
        <w:jc w:val="lowKashida"/>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3"/>
      </w:r>
      <w:r>
        <w:rPr>
          <w:rStyle w:val="FootnoteReference"/>
        </w:rPr>
        <w:footnoteReference w:id="54"/>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0" w:line="480"/>
        <w:jc w:val="lowKashida"/>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60"/>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0" w:line="480"/>
        <w:jc w:val="lowKashida"/>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2"/>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4"/>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5"/>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0" w:line="480"/>
        <w:jc w:val="lowKashida"/>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0" w:line="480"/>
        <w:jc w:val="lowKashida"/>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0" w:line="480"/>
        <w:jc w:val="lowKashida"/>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7"/>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0" w:line="480"/>
        <w:jc w:val="lowKashida"/>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الموت وتحديده في الشريعة اليهوديّة.</w:t>
      </w:r>
    </w:p>
    <w:p>
      <w:pPr>
        <w:bidi/>
        <w:spacing w:after="80" w:line="300"/>
        <w:jc w:val="center"/>
      </w:pPr>
      <w:r>
        <w:rPr>
          <w:rFonts w:ascii="Simplified Arabic" w:cs="Simplified Arabic" w:eastAsia="Simplified Arabic" w:hAnsi="Simplified Arabic"/>
          <w:b/>
          <w:bCs/>
          <w:sz w:val="28"/>
          <w:szCs w:val="28"/>
          <w:rtl/>
        </w:rPr>
        <w:t xml:space="preserve">المطلب الثاني: الموت والوسائل الاستثنائيّة في المسيحيّة.</w:t>
      </w:r>
    </w:p>
    <w:p>
      <w:pPr>
        <w:bidi/>
        <w:spacing w:after="80" w:line="300"/>
        <w:jc w:val="center"/>
      </w:pPr>
      <w:r>
        <w:rPr>
          <w:rFonts w:ascii="Simplified Arabic" w:cs="Simplified Arabic" w:eastAsia="Simplified Arabic" w:hAnsi="Simplified Arabic"/>
          <w:b/>
          <w:bCs/>
          <w:sz w:val="28"/>
          <w:szCs w:val="28"/>
          <w:rtl/>
        </w:rPr>
        <w:t xml:space="preserve">المطلب الثالث: التشريعات الوضعيّة القديمة.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0" w:line="480"/>
        <w:jc w:val="lowKashida"/>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8"/>
      </w:r>
      <w:r>
        <w:rPr>
          <w:rStyle w:val="FootnoteReference"/>
        </w:rPr>
        <w:footnoteReference w:id="6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70"/>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0" w:line="480"/>
        <w:jc w:val="lowKashida"/>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71"/>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0" w:line="480"/>
        <w:jc w:val="lowKashida"/>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2"/>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0" w:line="480"/>
        <w:jc w:val="lowKashida"/>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3"/>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وجماع القول في موقف الديانتين الكتابيّتين: أنّ كلتيهما مرّت بالمسار نفسه الذي مرّ به الفقه الإسلاميّ: نصوص مؤسِّسة قديمة جعلت علامة الموت ظاهرة حسيّة (النفَس عند اليهود، ومفارقة النفس عند النصارى)، ثم نازلة طبيّة حديثة زلزلت الظاهر، ثم اجتهاد جماعيّ انتهى إلى قبول المعيار العصبيّ بضمانات، مع بقاء أقليّة متمسّكة بالظاهر القديم تُحترم مواقفها. وهذا التوازي بين المسارات الثلاثة يقوّي الظنّ بأنّ المسألة من مواطن الاجتهاد الإنسانيّ المشترك التي لا يملك فيها أحد دعوى القطع، ويفسّر لماذا جاءت الحلول القانونيّة في الدول المختلطة دينيًّا، كإسرائيل والولايات المتحدة، حلولًا توفيقيّة.</w:t>
      </w:r>
    </w:p>
    <w:p>
      <w:pPr>
        <w:bidi/>
        <w:spacing w:after="0" w:line="480"/>
        <w:jc w:val="lowKashida"/>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4"/>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80" w:line="300"/>
        <w:jc w:val="center"/>
      </w:pPr>
      <w:r>
        <w:rPr>
          <w:rFonts w:ascii="Simplified Arabic" w:cs="Simplified Arabic" w:eastAsia="Simplified Arabic" w:hAnsi="Simplified Arabic"/>
          <w:b/>
          <w:bCs/>
          <w:sz w:val="28"/>
          <w:szCs w:val="28"/>
          <w:rtl/>
        </w:rPr>
        <w:t xml:space="preserve">وفيه ستة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80" w:line="30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80" w:line="30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80" w:line="30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80" w:line="30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80" w:line="30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0" w:line="480"/>
        <w:jc w:val="lowKashida"/>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ومنها مسائل الجنازة المترتبة على تأخّر الدفن: فمن مات دماغيًّا وبقي على الأجهزة أيامًا ثم توقف قلبه، فغسله وتكفينه والصلاة عليه ودفنه تكون بعد سكون القلب بلا خلاف عمليّ، إذ حتى المعتبرون للموت الدماغيّ لا يرون تغسيل جسد ما زال دمه دائرًا وصدره يعلو ويهبط؛ لكن يبقى أثر التأخير في فوات فضيلة التعجيل، وفي مشقّة انتظار الأقارب القادمين من بعيد، وفي مسائل تشييع مؤجّل قد يتزاحم مع جنائز أخرى. وقد جرى عمل المستشفيات على تسليم الجثمان للدفن فور استكمال الإجراءات بعد توقف القلب، وهو الموافق لحديث الإسراع بالجنازة</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0" w:line="480"/>
        <w:jc w:val="lowKashida"/>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0" w:line="480"/>
        <w:jc w:val="lowKashida"/>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80"/>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0" w:line="480"/>
        <w:jc w:val="lowKashida"/>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5"/>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7"/>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91"/>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0" w:line="480"/>
        <w:jc w:val="lowKashida"/>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0" w:line="480"/>
        <w:jc w:val="lowKashida"/>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0" w:line="480"/>
        <w:jc w:val="lowKashida"/>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0" w:line="480"/>
        <w:jc w:val="lowKashida"/>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4"/>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5"/>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80" w:line="300"/>
        <w:jc w:val="center"/>
      </w:pPr>
      <w:r>
        <w:rPr>
          <w:rFonts w:ascii="Simplified Arabic" w:cs="Simplified Arabic" w:eastAsia="Simplified Arabic" w:hAnsi="Simplified Arabic"/>
          <w:b/>
          <w:bCs/>
          <w:sz w:val="28"/>
          <w:szCs w:val="28"/>
          <w:rtl/>
        </w:rPr>
        <w:t xml:space="preserve">وفيه أربعة مباحث:</w:t>
      </w:r>
    </w:p>
    <w:p>
      <w:pPr>
        <w:bidi/>
        <w:spacing w:after="80" w:line="30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تصوير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الثاني: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فلسفة مقاصد الشريعة الإسلاميّة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ربط المسألة بالواقع.</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0" w:line="480"/>
        <w:jc w:val="lowKashida"/>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0" w:line="480"/>
        <w:jc w:val="lowKashida"/>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0" w:line="480"/>
        <w:jc w:val="lowKashida"/>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0" w:line="480"/>
        <w:jc w:val="lowKashida"/>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0" w:line="480"/>
        <w:jc w:val="lowKashida"/>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0" w:line="480"/>
        <w:jc w:val="lowKashida"/>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101"/>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60" w:before="12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0" w:line="480"/>
        <w:jc w:val="lowKashida"/>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3"/>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0" w:line="480"/>
        <w:jc w:val="lowKashida"/>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6"/>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0" w:line="480"/>
        <w:jc w:val="lowKashida"/>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محلّ الاتفاق.</w:t>
      </w:r>
    </w:p>
    <w:p>
      <w:pPr>
        <w:bidi/>
        <w:spacing w:after="80" w:line="300"/>
        <w:jc w:val="center"/>
      </w:pPr>
      <w:r>
        <w:rPr>
          <w:rFonts w:ascii="Simplified Arabic" w:cs="Simplified Arabic" w:eastAsia="Simplified Arabic" w:hAnsi="Simplified Arabic"/>
          <w:b/>
          <w:bCs/>
          <w:sz w:val="28"/>
          <w:szCs w:val="28"/>
          <w:rtl/>
        </w:rPr>
        <w:t xml:space="preserve">المطلب الثاني: بيان محلّ النزاع.</w:t>
      </w:r>
    </w:p>
    <w:p>
      <w:pPr>
        <w:bidi/>
        <w:spacing w:after="80" w:line="300"/>
        <w:jc w:val="center"/>
      </w:pPr>
      <w:r>
        <w:rPr>
          <w:rFonts w:ascii="Simplified Arabic" w:cs="Simplified Arabic" w:eastAsia="Simplified Arabic" w:hAnsi="Simplified Arabic"/>
          <w:b/>
          <w:bCs/>
          <w:sz w:val="28"/>
          <w:szCs w:val="28"/>
          <w:rtl/>
        </w:rPr>
        <w:t xml:space="preserve">المطلب الثالث: أسباب الاختلاف.</w:t>
      </w:r>
    </w:p>
    <w:p>
      <w:pPr>
        <w:bidi/>
        <w:spacing w:after="80" w:line="300"/>
        <w:jc w:val="center"/>
      </w:pPr>
      <w:r>
        <w:rPr>
          <w:rFonts w:ascii="Simplified Arabic" w:cs="Simplified Arabic" w:eastAsia="Simplified Arabic" w:hAnsi="Simplified Arabic"/>
          <w:b/>
          <w:bCs/>
          <w:sz w:val="28"/>
          <w:szCs w:val="28"/>
          <w:rtl/>
        </w:rPr>
        <w:t xml:space="preserve">المطلب الرابع: التكييف الفقهيّ.</w:t>
      </w:r>
    </w:p>
    <w:p>
      <w:pPr>
        <w:bidi/>
        <w:spacing w:after="80" w:line="300"/>
        <w:jc w:val="center"/>
      </w:pPr>
      <w:r>
        <w:rPr>
          <w:rFonts w:ascii="Simplified Arabic" w:cs="Simplified Arabic" w:eastAsia="Simplified Arabic" w:hAnsi="Simplified Arabic"/>
          <w:b/>
          <w:bCs/>
          <w:sz w:val="28"/>
          <w:szCs w:val="28"/>
          <w:rtl/>
        </w:rPr>
        <w:t xml:space="preserve">المطلب الخامس: الأدلّة العامّة والقواعد الفقهيّة المتعلقة بالمسألة.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0" w:line="480"/>
        <w:jc w:val="lowKashida"/>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0" w:line="480"/>
        <w:jc w:val="lowKashida"/>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10"/>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11"/>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12"/>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3"/>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"المشقّة تجلب التيسير"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"إذا ضاق الأمر اتّسع"</w:t>
      </w:r>
      <w:r>
        <w:rPr>
          <w:rFonts w:ascii="Simplified Arabic" w:cs="Simplified Arabic" w:eastAsia="Simplified Arabic" w:hAnsi="Simplified Arabic"/>
          <w:b w:val="false"/>
          <w:bCs w:val="false"/>
          <w:sz w:val="28"/>
          <w:szCs w:val="28"/>
          <w:rtl/>
        </w:rPr>
        <w:t xml:space="preserve">: وبهما يعالَج حرج الأسر والأطباء في هذه النازلة؛ فإلزام الأهل بإبقاء جثمان على الآلات أسابيع مشقّة ظاهرة بلا مصلحة، وإلزام الطبيب بدعم لا جدوى منه تضييق ترفعه الشريعة</w:t>
      </w:r>
      <w:r>
        <w:rPr>
          <w:rStyle w:val="FootnoteReference"/>
        </w:rPr>
        <w:footnoteReference w:id="11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60" w:before="12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0" w:line="480"/>
        <w:jc w:val="lowKashida"/>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6"/>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تحرير الفرق بين عدم تركيب الأجهزة ابتداءً ورفعها بعد التركيب.</w:t>
      </w:r>
    </w:p>
    <w:p>
      <w:pPr>
        <w:bidi/>
        <w:spacing w:after="0" w:line="480"/>
        <w:jc w:val="lowKashida"/>
      </w:pPr>
      <w:r>
        <w:rPr>
          <w:rFonts w:ascii="Simplified Arabic" w:cs="Simplified Arabic" w:eastAsia="Simplified Arabic" w:hAnsi="Simplified Arabic"/>
          <w:b w:val="false"/>
          <w:bCs w:val="false"/>
          <w:sz w:val="28"/>
          <w:szCs w:val="28"/>
          <w:rtl/>
        </w:rPr>
        <w:t xml:space="preserve">جرى في كلام بعض المفتين التفريق بين الصورتين: فأجازوا عدم التركيب ابتداءً لمن لا يُرجى برؤه، وتوقفوا في الرفع بعد التركيب، بحجّة أنّ الرفع فعلٌ والامتناع تركٌ، والفعل أغلظ. والتحقيق الذي مال إليه المحقّقون أنّ الصورتين سواء متى استوى الموجِب: فالعبرة بالمعنى لا بالصورة الحركيّة، وكلاهما كفٌّ عن دعم لا مصلحة فيه، والموت الواقع بعدهما مضاف إلى المرض في الحالين؛ بل قد يكون التفريق ذريعة مفسدة: فإنّ الأطباء إذا علموا أنّ ما رُكّب لا يُرفع أحجموا عن تركيب الأجهزة في الحالات المشتبهة خوف التورّط، ففاتت فرصة الإنقاذ على من كان ينتفع بها؛ فالقول بالتسوية أحفظ للأرواح في المآل</w:t>
      </w:r>
      <w:r>
        <w:rPr>
          <w:rStyle w:val="FootnoteReference"/>
        </w:rPr>
        <w:footnoteReference w:id="118"/>
      </w:r>
      <w:r>
        <w:rPr>
          <w:rStyle w:val="FootnoteReference"/>
        </w:rPr>
        <w:footnoteReference w:id="119"/>
      </w:r>
      <w:r>
        <w:rPr>
          <w:rFonts w:ascii="Simplified Arabic" w:cs="Simplified Arabic" w:eastAsia="Simplified Arabic" w:hAnsi="Simplified Arabic"/>
          <w:b w:val="false"/>
          <w:bCs w:val="false"/>
          <w:sz w:val="28"/>
          <w:szCs w:val="28"/>
          <w:rtl/>
        </w:rPr>
        <w:t xml:space="preserve">.</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بيان أقوال الفقهاء المؤيّدين (لجواز النزع)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الثاني: بيان أقوال الفقهاء المعارضين وأدلّتهم ومناقشتها.</w:t>
      </w:r>
    </w:p>
    <w:p>
      <w:pPr>
        <w:bidi/>
        <w:spacing w:after="80" w:line="300"/>
        <w:jc w:val="center"/>
      </w:pPr>
      <w:r>
        <w:rPr>
          <w:rFonts w:ascii="Simplified Arabic" w:cs="Simplified Arabic" w:eastAsia="Simplified Arabic" w:hAnsi="Simplified Arabic"/>
          <w:b/>
          <w:bCs/>
          <w:sz w:val="28"/>
          <w:szCs w:val="28"/>
          <w:rtl/>
        </w:rPr>
        <w:t xml:space="preserve">المطلب الثالث: الردّ على الأدلّة.</w:t>
      </w:r>
    </w:p>
    <w:p>
      <w:pPr>
        <w:bidi/>
        <w:spacing w:after="80" w:line="300"/>
        <w:jc w:val="center"/>
      </w:pPr>
      <w:r>
        <w:rPr>
          <w:rFonts w:ascii="Simplified Arabic" w:cs="Simplified Arabic" w:eastAsia="Simplified Arabic" w:hAnsi="Simplified Arabic"/>
          <w:b/>
          <w:bCs/>
          <w:sz w:val="28"/>
          <w:szCs w:val="28"/>
          <w:rtl/>
        </w:rPr>
        <w:t xml:space="preserve">المطلب الرابع: القول الراجح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lowKashida"/>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23"/>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2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25"/>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6"/>
      </w:r>
      <w:r>
        <w:rPr>
          <w:rStyle w:val="FootnoteReference"/>
        </w:rPr>
        <w:footnoteReference w:id="12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9"/>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lowKashida"/>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60" w:before="120" w:line="360"/>
        <w:jc w:val="right"/>
      </w:pPr>
      <w:r>
        <w:rPr>
          <w:rFonts w:ascii="Simplified Arabic" w:cs="Simplified Arabic" w:eastAsia="Simplified Arabic" w:hAnsi="Simplified Arabic"/>
          <w:b/>
          <w:bCs/>
          <w:sz w:val="28"/>
          <w:szCs w:val="28"/>
          <w:rtl/>
        </w:rPr>
        <w:t xml:space="preserve">الفرع الأوّل: أقوالهم.</w:t>
      </w:r>
    </w:p>
    <w:p>
      <w:pPr>
        <w:bidi/>
        <w:spacing w:after="0" w:line="480"/>
        <w:jc w:val="lowKashida"/>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30"/>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أدلّتهم.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60" w:before="12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0" w:line="480"/>
        <w:jc w:val="lowKashida"/>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33"/>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0" w:line="480"/>
        <w:jc w:val="lowKashida"/>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34"/>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35"/>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0" w:line="480"/>
        <w:jc w:val="lowKashida"/>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0" w:line="480"/>
        <w:jc w:val="lowKashida"/>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شبهات شائعة حول المسألة والجواب عنها.</w:t>
      </w:r>
    </w:p>
    <w:p>
      <w:pPr>
        <w:bidi/>
        <w:spacing w:after="0" w:line="480"/>
        <w:jc w:val="lowKashida"/>
      </w:pPr>
      <w:r>
        <w:rPr>
          <w:rFonts w:ascii="Simplified Arabic" w:cs="Simplified Arabic" w:eastAsia="Simplified Arabic" w:hAnsi="Simplified Arabic"/>
          <w:b w:val="false"/>
          <w:bCs w:val="false"/>
          <w:sz w:val="28"/>
          <w:szCs w:val="28"/>
          <w:rtl/>
        </w:rPr>
        <w:t xml:space="preserve">الشبهة الأولى: "الأطباء يستعجلون إعلان الموت طمعًا في الأعضاء". والجواب: أنّ هذا سوء ظنّ لا يقوم عليه واقع الأنظمة المعاصرة؛ فالقوانين والبروتوكولات فصلت لجنة التشخيص عن فريق الزرع فصلًا تامًّا، وجرّمت التلاعب تجريمًا غليظًا، وجعلت التشخيص جماعيًّا موثّقًا قابلًا للمراجعة؛ ومن وقعت منه مخالفة فشأنه شأن كلّ خائن أمانة: يُحاسَب هو ولا يُهدم الباب</w:t>
      </w:r>
      <w:r>
        <w:rPr>
          <w:rStyle w:val="FootnoteReference"/>
        </w:rPr>
        <w:footnoteReference w:id="138"/>
      </w:r>
      <w:r>
        <w:rPr>
          <w:rFonts w:ascii="Simplified Arabic" w:cs="Simplified Arabic" w:eastAsia="Simplified Arabic" w:hAnsi="Simplified Arabic"/>
          <w:b w:val="false"/>
          <w:bCs w:val="false"/>
          <w:sz w:val="28"/>
          <w:szCs w:val="28"/>
          <w:rtl/>
        </w:rPr>
        <w:t xml:space="preserve">. الشبهة الثانية: "سمعنا عمّن استيقظ بعد أن أعلن الأطباء موته الدماغيّ". والجواب: أنّ الوقائع الموثّقة كلّها حالات لم يستوفِ تشخيصُها البروتوكول، أو حالات غيبوبة أُطلق عليها الوصف إطلاقًا صحفيًّا خاطئًا؛ ولم تصمد حالة واحدة مستوفية للمعايير أمام التحقيق العلميّ</w:t>
      </w:r>
      <w:r>
        <w:rPr>
          <w:rStyle w:val="FootnoteReference"/>
        </w:rPr>
        <w:footnoteReference w:id="139"/>
      </w:r>
      <w:r>
        <w:rPr>
          <w:rFonts w:ascii="Simplified Arabic" w:cs="Simplified Arabic" w:eastAsia="Simplified Arabic" w:hAnsi="Simplified Arabic"/>
          <w:b w:val="false"/>
          <w:bCs w:val="false"/>
          <w:sz w:val="28"/>
          <w:szCs w:val="28"/>
          <w:rtl/>
        </w:rPr>
        <w:t xml:space="preserve">. الشبهة الثالثة: "نزع الأجهزة تدخّل في قدر الله واستعجال للأجل". والجواب: أنّ القدر لا يُحتجّ به على ترك الأخذ بالأسباب ولا على التزام أسباب لا أثر لها؛ فالآجال بيد الله، والجهاز سبب ظاهريّ انقطعت فائدته بشهادة أهل الخبرة، ورفعه ردٌّ للأمر إلى صاحبه سبحانه، كما أنّ تركيبه ابتداءً لم يكن اعتراضًا على القدر</w:t>
      </w:r>
      <w:r>
        <w:rPr>
          <w:rStyle w:val="FootnoteReference"/>
        </w:rPr>
        <w:footnoteReference w:id="140"/>
      </w:r>
      <w:r>
        <w:rPr>
          <w:rFonts w:ascii="Simplified Arabic" w:cs="Simplified Arabic" w:eastAsia="Simplified Arabic" w:hAnsi="Simplified Arabic"/>
          <w:b w:val="false"/>
          <w:bCs w:val="false"/>
          <w:sz w:val="28"/>
          <w:szCs w:val="28"/>
          <w:rtl/>
        </w:rPr>
        <w:t xml:space="preserve">. وبكشف هذه الشبهات الثلاث ينقشع أكثر ما يتردّد في المجالس حول هذه النازلة.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60" w:before="12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0" w:line="480"/>
        <w:jc w:val="lowKashida"/>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60" w:before="12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0" w:line="480"/>
        <w:jc w:val="lowKashida"/>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60" w:before="12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0" w:line="480"/>
        <w:jc w:val="lowKashida"/>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الموقف والأقوال القانونيّة (قوانين سبع دول).</w:t>
      </w:r>
    </w:p>
    <w:p>
      <w:pPr>
        <w:bidi/>
        <w:spacing w:after="80" w:line="300"/>
        <w:jc w:val="center"/>
      </w:pPr>
      <w:r>
        <w:rPr>
          <w:rFonts w:ascii="Simplified Arabic" w:cs="Simplified Arabic" w:eastAsia="Simplified Arabic" w:hAnsi="Simplified Arabic"/>
          <w:b/>
          <w:bCs/>
          <w:sz w:val="28"/>
          <w:szCs w:val="28"/>
          <w:rtl/>
        </w:rPr>
        <w:t xml:space="preserve">المطلب الثاني: الموقف والأقوال الطبيّة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الثالث: الموقف والأقوال الاجتماعيّة في المسألة.</w:t>
      </w:r>
    </w:p>
    <w:p>
      <w:pPr>
        <w:bidi/>
        <w:spacing w:after="80" w:line="300"/>
        <w:jc w:val="center"/>
      </w:pPr>
      <w:r>
        <w:rPr>
          <w:rFonts w:ascii="Simplified Arabic" w:cs="Simplified Arabic" w:eastAsia="Simplified Arabic" w:hAnsi="Simplified Arabic"/>
          <w:b/>
          <w:bCs/>
          <w:sz w:val="28"/>
          <w:szCs w:val="28"/>
          <w:rtl/>
        </w:rPr>
        <w:t xml:space="preserve">المطلب الرابع: الموقف والأقوال العلميّة والتقنيّة في المسألة.</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60" w:before="120" w:line="360"/>
        <w:jc w:val="right"/>
      </w:pPr>
      <w:r>
        <w:rPr>
          <w:rFonts w:ascii="Simplified Arabic" w:cs="Simplified Arabic" w:eastAsia="Simplified Arabic" w:hAnsi="Simplified Arabic"/>
          <w:b/>
          <w:bCs/>
          <w:sz w:val="28"/>
          <w:szCs w:val="28"/>
          <w:rtl/>
        </w:rPr>
        <w:t xml:space="preserve">الفرع الأوّل: فلسطين.</w:t>
      </w:r>
    </w:p>
    <w:p>
      <w:pPr>
        <w:bidi/>
        <w:spacing w:after="0" w:line="480"/>
        <w:jc w:val="lowKashida"/>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الأردن.</w:t>
      </w:r>
    </w:p>
    <w:p>
      <w:pPr>
        <w:bidi/>
        <w:spacing w:after="0" w:line="480"/>
        <w:jc w:val="lowKashida"/>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4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الثالث: مصر.</w:t>
      </w:r>
    </w:p>
    <w:p>
      <w:pPr>
        <w:bidi/>
        <w:spacing w:after="0" w:line="480"/>
        <w:jc w:val="lowKashida"/>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0" w:line="480"/>
        <w:jc w:val="lowKashida"/>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5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الخامس: إسرائيل.</w:t>
      </w:r>
    </w:p>
    <w:p>
      <w:pPr>
        <w:bidi/>
        <w:spacing w:after="0" w:line="480"/>
        <w:jc w:val="lowKashida"/>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5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0" w:line="480"/>
        <w:jc w:val="lowKashida"/>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53"/>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السابع: فرنسا.</w:t>
      </w:r>
    </w:p>
    <w:p>
      <w:pPr>
        <w:bidi/>
        <w:spacing w:after="0" w:line="480"/>
        <w:jc w:val="lowKashida"/>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54"/>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55"/>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57"/>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5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9"/>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60"/>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62"/>
      </w:r>
      <w:r>
        <w:rPr>
          <w:rStyle w:val="FootnoteReference"/>
        </w:rPr>
        <w:footnoteReference w:id="163"/>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64"/>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6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66"/>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0" w:line="480"/>
        <w:jc w:val="lowKashida"/>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67"/>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80" w:line="300"/>
        <w:jc w:val="center"/>
      </w:pPr>
      <w:r>
        <w:rPr>
          <w:rFonts w:ascii="Simplified Arabic" w:cs="Simplified Arabic" w:eastAsia="Simplified Arabic" w:hAnsi="Simplified Arabic"/>
          <w:b/>
          <w:bCs/>
          <w:sz w:val="28"/>
          <w:szCs w:val="28"/>
          <w:rtl/>
        </w:rPr>
        <w:t xml:space="preserve">وفيه مبحثان:</w:t>
      </w:r>
    </w:p>
    <w:p>
      <w:pPr>
        <w:bidi/>
        <w:spacing w:after="80" w:line="300"/>
        <w:jc w:val="center"/>
      </w:pPr>
      <w:r>
        <w:rPr>
          <w:rFonts w:ascii="Simplified Arabic" w:cs="Simplified Arabic" w:eastAsia="Simplified Arabic" w:hAnsi="Simplified Arabic"/>
          <w:b/>
          <w:bCs/>
          <w:sz w:val="28"/>
          <w:szCs w:val="28"/>
          <w:rtl/>
        </w:rPr>
        <w:t xml:space="preserve">المبحث الأوّل: الفتاوى والقرارات المؤيّدة (خمس فتاوى مع الردّ والتعقيب).</w:t>
      </w:r>
    </w:p>
    <w:p>
      <w:pPr>
        <w:bidi/>
        <w:spacing w:after="80" w:line="30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مجمع الفقه الإسلاميّ الدوليّ (عمّان 1986م).</w:t>
      </w:r>
    </w:p>
    <w:p>
      <w:pPr>
        <w:bidi/>
        <w:spacing w:after="80" w:line="300"/>
        <w:jc w:val="center"/>
      </w:pPr>
      <w:r>
        <w:rPr>
          <w:rFonts w:ascii="Simplified Arabic" w:cs="Simplified Arabic" w:eastAsia="Simplified Arabic" w:hAnsi="Simplified Arabic"/>
          <w:b/>
          <w:bCs/>
          <w:sz w:val="28"/>
          <w:szCs w:val="28"/>
          <w:rtl/>
        </w:rPr>
        <w:t xml:space="preserve">المطلب الثاني: توصية ندوة المنظمة الإسلاميّة للعلوم الطبيّة (الكويت 1985م).</w:t>
      </w:r>
    </w:p>
    <w:p>
      <w:pPr>
        <w:bidi/>
        <w:spacing w:after="80" w:line="300"/>
        <w:jc w:val="center"/>
      </w:pPr>
      <w:r>
        <w:rPr>
          <w:rFonts w:ascii="Simplified Arabic" w:cs="Simplified Arabic" w:eastAsia="Simplified Arabic" w:hAnsi="Simplified Arabic"/>
          <w:b/>
          <w:bCs/>
          <w:sz w:val="28"/>
          <w:szCs w:val="28"/>
          <w:rtl/>
        </w:rPr>
        <w:t xml:space="preserve">المطلب الثالث: فتوى دار الإفتاء المصريّة.</w:t>
      </w:r>
    </w:p>
    <w:p>
      <w:pPr>
        <w:bidi/>
        <w:spacing w:after="80" w:line="300"/>
        <w:jc w:val="center"/>
      </w:pPr>
      <w:r>
        <w:rPr>
          <w:rFonts w:ascii="Simplified Arabic" w:cs="Simplified Arabic" w:eastAsia="Simplified Arabic" w:hAnsi="Simplified Arabic"/>
          <w:b/>
          <w:bCs/>
          <w:sz w:val="28"/>
          <w:szCs w:val="28"/>
          <w:rtl/>
        </w:rPr>
        <w:t xml:space="preserve">المطلب الرابع: قرار مجلس الإفتاء والبحوث والدراسات الإسلاميّة الأردنيّ رقم (117).</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lowKashida"/>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0" w:line="480"/>
        <w:jc w:val="lowKashida"/>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0" w:line="480"/>
        <w:jc w:val="lowKashida"/>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0" w:line="480"/>
        <w:jc w:val="lowKashida"/>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74"/>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0" w:line="480"/>
        <w:jc w:val="lowKashida"/>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76"/>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60" w:before="12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0" w:line="480"/>
        <w:jc w:val="lowKashida"/>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77"/>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0" w:line="480"/>
        <w:jc w:val="lowKashida"/>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78"/>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الخامس: فتوى مركز الفتوى بإسلام ويب في حكم رفع الأجهزة عن الميت دماغيًّا.</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سئل مركز الفتوى بموقع إسلام ويب عن رفع الأجهزة عمّن أعلن الأطباء موته الدماغيّ، فأجاب ببيان قولي أهل العلم في حقيقة الموت الدماغيّ، ثم قرّر أنه إذا شهد الأطباء الثقات بتعطّل الدماغ تعطّلًا نهائيًّا لا رجعة فيه فلا حرج في رفع أجهزة الإنعاش، مستندًا إلى قرارات المجامع الفقهيّة وإلى أنّ بقاء الأجهزة حينئذ لا يحقّق مصلحة معتبرة</w:t>
      </w:r>
      <w:r>
        <w:rPr>
          <w:rStyle w:val="FootnoteReference"/>
        </w:rPr>
        <w:footnoteReference w:id="179"/>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قيمة هذه الفتوى في جمهورها: فمركز الفتوى بإسلام ويب من أوسع منصّات الإفتاء الإلكترونيّ انتشارًا في العالم العربيّ، وإليه تفزع الأسر في نوازلها قبل أن تصل إلى المجالس الرسميّة؛ فاستقرار فتواه على مذهب المجامع يعني أنّ الجواب الذي يصل عامّة الناس عبر الشبكة موافق لما رجّحه هذا البحث. ويلاحَظ حسن صنيعه في عرض القولين قبل الترجيح، وهو الأدب الذي ينبغي أن تجري عليه فتاوى النوازل الخلافيّة.</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80" w:line="300"/>
        <w:jc w:val="center"/>
      </w:pPr>
      <w:r>
        <w:rPr>
          <w:rFonts w:ascii="Simplified Arabic" w:cs="Simplified Arabic" w:eastAsia="Simplified Arabic" w:hAnsi="Simplified Arabic"/>
          <w:b/>
          <w:bCs/>
          <w:sz w:val="28"/>
          <w:szCs w:val="28"/>
          <w:rtl/>
        </w:rPr>
        <w:t xml:space="preserve">ويشتمل على المطالب الآتية:</w:t>
      </w:r>
    </w:p>
    <w:p>
      <w:pPr>
        <w:bidi/>
        <w:spacing w:after="80" w:line="300"/>
        <w:jc w:val="center"/>
      </w:pPr>
      <w:r>
        <w:rPr>
          <w:rFonts w:ascii="Simplified Arabic" w:cs="Simplified Arabic" w:eastAsia="Simplified Arabic" w:hAnsi="Simplified Arabic"/>
          <w:b/>
          <w:bCs/>
          <w:sz w:val="28"/>
          <w:szCs w:val="28"/>
          <w:rtl/>
        </w:rPr>
        <w:t xml:space="preserve">المطلب الأوّل: قرار المجمع الفقهيّ برابطة العالم الإسلاميّ (مكة 1987م).</w:t>
      </w:r>
    </w:p>
    <w:p>
      <w:pPr>
        <w:bidi/>
        <w:spacing w:after="80" w:line="300"/>
        <w:jc w:val="center"/>
      </w:pPr>
      <w:r>
        <w:rPr>
          <w:rFonts w:ascii="Simplified Arabic" w:cs="Simplified Arabic" w:eastAsia="Simplified Arabic" w:hAnsi="Simplified Arabic"/>
          <w:b/>
          <w:bCs/>
          <w:sz w:val="28"/>
          <w:szCs w:val="28"/>
          <w:rtl/>
        </w:rPr>
        <w:t xml:space="preserve">المطلب الثاني: فتوى اللجنة الدائمة للبحوث العلميّة والإفتاء (السعوديّة).</w:t>
      </w:r>
    </w:p>
    <w:p>
      <w:pPr>
        <w:bidi/>
        <w:spacing w:after="80" w:line="300"/>
        <w:jc w:val="center"/>
      </w:pPr>
      <w:r>
        <w:rPr>
          <w:rFonts w:ascii="Simplified Arabic" w:cs="Simplified Arabic" w:eastAsia="Simplified Arabic" w:hAnsi="Simplified Arabic"/>
          <w:b/>
          <w:bCs/>
          <w:sz w:val="28"/>
          <w:szCs w:val="28"/>
          <w:rtl/>
        </w:rPr>
        <w:t xml:space="preserve">المطلب الثالث: فتوى الشيخ محمد بن صالح ابن عثيمين رحمه الله.</w:t>
      </w:r>
    </w:p>
    <w:p>
      <w:pPr>
        <w:bidi/>
        <w:spacing w:after="0" w:line="480"/>
        <w:jc w:val="lowKashida"/>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pageBreakBefore/>
        <w:bidi/>
        <w:spacing w:after="80" w:before="12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0" w:line="480"/>
        <w:jc w:val="lowKashida"/>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80"/>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0" w:line="480"/>
        <w:jc w:val="lowKashida"/>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0" w:line="480"/>
        <w:jc w:val="lowKashida"/>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81"/>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82"/>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0" w:line="480"/>
        <w:jc w:val="lowKashida"/>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0" w:line="480"/>
        <w:jc w:val="lowKashida"/>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83"/>
      </w:r>
      <w:r>
        <w:rPr>
          <w:rFonts w:ascii="Simplified Arabic" w:cs="Simplified Arabic" w:eastAsia="Simplified Arabic" w:hAnsi="Simplified Arabic"/>
          <w:b w:val="false"/>
          <w:bCs w:val="false"/>
          <w:sz w:val="28"/>
          <w:szCs w:val="28"/>
          <w:rtl/>
        </w:rPr>
        <w:t xml:space="preserve">.</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60" w:before="12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0" w:line="480"/>
        <w:jc w:val="lowKashida"/>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84"/>
      </w:r>
      <w:r>
        <w:rPr>
          <w:rFonts w:ascii="Simplified Arabic" w:cs="Simplified Arabic" w:eastAsia="Simplified Arabic" w:hAnsi="Simplified Arabic"/>
          <w:b w:val="false"/>
          <w:bCs w:val="false"/>
          <w:sz w:val="28"/>
          <w:szCs w:val="28"/>
          <w:rtl/>
        </w:rPr>
        <w:t xml:space="preserve">.</w:t>
      </w:r>
    </w:p>
    <w:p>
      <w:pPr>
        <w:bidi/>
        <w:spacing w:after="60" w:before="12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0" w:line="480"/>
        <w:jc w:val="lowKashida"/>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0" w:line="480"/>
        <w:jc w:val="lowKashida"/>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85"/>
      </w:r>
      <w:r>
        <w:rPr>
          <w:rFonts w:ascii="Simplified Arabic" w:cs="Simplified Arabic" w:eastAsia="Simplified Arabic" w:hAnsi="Simplified Arabic"/>
          <w:b w:val="false"/>
          <w:bCs w:val="false"/>
          <w:sz w:val="28"/>
          <w:szCs w:val="28"/>
          <w:rtl/>
        </w:rPr>
        <w:t xml:space="preserve">.</w:t>
      </w:r>
    </w:p>
    <w:p>
      <w:pPr>
        <w:bidi/>
        <w:spacing w:after="0" w:line="480"/>
        <w:jc w:val="lowKashida"/>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0" w:line="480"/>
        <w:jc w:val="lowKashida"/>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الخاتمة</w:t>
      </w:r>
    </w:p>
    <w:p>
      <w:pPr>
        <w:bidi/>
        <w:spacing w:after="0" w:line="480"/>
        <w:jc w:val="lowKashida"/>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0" w:line="480"/>
        <w:jc w:val="lowKashida"/>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0" w:line="480"/>
        <w:jc w:val="lowKashida"/>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0" w:line="480"/>
        <w:jc w:val="lowKashida"/>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النتائج</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0" w:line="480"/>
        <w:jc w:val="lowKashida"/>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التوصيات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0" w:line="480"/>
        <w:jc w:val="lowKashida"/>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0" w:line="480"/>
        <w:jc w:val="lowKashida"/>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ملحق: نموذج مقترح لوثيقة تفهيم الأسرة</w:t>
      </w:r>
    </w:p>
    <w:p>
      <w:pPr>
        <w:bidi/>
        <w:spacing w:after="0" w:line="480"/>
        <w:jc w:val="lowKashida"/>
      </w:pPr>
      <w:r>
        <w:rPr>
          <w:rFonts w:ascii="Simplified Arabic" w:cs="Simplified Arabic" w:eastAsia="Simplified Arabic" w:hAnsi="Simplified Arabic"/>
          <w:b w:val="false"/>
          <w:bCs w:val="false"/>
          <w:sz w:val="28"/>
          <w:szCs w:val="28"/>
          <w:rtl/>
        </w:rPr>
        <w:t xml:space="preserve">تنزيلًا للتوصية الثالثة من توصيات هذا البحث، نقترح النموذج الآتي ليكون نواة لوثيقة تفهيم موحّدة تسلَّم للأسرة في قسم العناية المركّزة عند إعلان الموت الدماغيّ، وقد صيغ بلغة ميسّرة تجمع بين الأمانة العلميّة والرحمة، ويُعرض قبل اعتماده على لجنة شرعيّة وطبيّة ولغويّة:</w:t>
      </w:r>
    </w:p>
    <w:p>
      <w:pPr>
        <w:bidi/>
        <w:spacing w:after="0" w:line="480"/>
        <w:jc w:val="lowKashida"/>
      </w:pPr>
      <w:r>
        <w:rPr>
          <w:rFonts w:ascii="Simplified Arabic" w:cs="Simplified Arabic" w:eastAsia="Simplified Arabic" w:hAnsi="Simplified Arabic"/>
          <w:b/>
          <w:bCs/>
          <w:sz w:val="28"/>
          <w:szCs w:val="28"/>
          <w:rtl/>
        </w:rPr>
        <w:t xml:space="preserve">إلى أهل مريضنا العزيز، أحسن الله عزاءكم وربط على قلوبكم: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أجرى فريق طبيّ متخصّص، مكوّن من ثلاثة أطباء لا صلة لهم بأيّ برنامج لزراعة الأعضاء، فحوصًا دقيقة متكرّرة لدماغ مريضكم وفق المعايير العالميّة المعتمدة.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أظهرت الفحوص، بما فيها اختبار التنفّس الذاتيّ والفحوص الآليّة المساندة، أنّ جميع وظائف الدماغ، ومنها جذع الدماغ الذي يتحكّم في التنفّس والوعي، قد توقفت توقفًا نهائيًّا لا رجعة فيه بإذن الله.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هذه الحالة تختلف تمامًا عن الغيبوبة: فصاحب الغيبوبة دماغه حيّ وقد يستيقظ، أمّا هذه الحالة فلم يوثَّق في تاريخ الطبّ استيقاظ أحد منها.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ترونه من حركة الصدر ودفء الجسد مصدره جهاز التنفّس الاصطناعيّ وحده، وهو لا يداوي ولا يعيد الحياة، وإنما يحرّك الهواء آليًّا.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أفتت المجامع الفقهيّة، ومنها مجمع الفقه الإسلاميّ الدوليّ ومجلس الإفتاء الأردنيّ ودار الإفتاء المصريّة، بأنه لا حرج شرعًا في رفع الأجهزة في هذه الحالة بعد ثبوتها بتقرير اللجنة الطبيّة، وأنّ ذلك ليس قتلًا ولا استعجالًا للأجل، فالآجال بيد الله وحده.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لكم كامل الحقّ في مهلة للوداع، وفي استدعاء من تثقون به من أهل العلم، وفي توجيه أيّ سؤال للفريق الطبيّ، ولن يُتّخذ أيّ إجراء قبل إعلامكم.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 كانت لدى فقيدكم وصيّة موثّقة بالتبرّع بأعضائه فسيُعرض عليكم الأمر بشفافية كاملة، ولن يجري شيء إلا وفق الشرع والقانون وبعلمكم.</w:t>
      </w:r>
    </w:p>
    <w:p>
      <w:pPr>
        <w:bidi/>
        <w:spacing w:after="0" w:line="480"/>
        <w:jc w:val="lowKashida"/>
      </w:pPr>
      <w:r>
        <w:rPr>
          <w:rFonts w:ascii="Simplified Arabic" w:cs="Simplified Arabic" w:eastAsia="Simplified Arabic" w:hAnsi="Simplified Arabic"/>
          <w:b w:val="false"/>
          <w:bCs w:val="false"/>
          <w:sz w:val="28"/>
          <w:szCs w:val="28"/>
          <w:rtl/>
        </w:rPr>
        <w:t xml:space="preserve">نسأل الله أن يتغمّد مريضكم برحمته، وأن يلهمكم الصبر والسلوان، وإنّا لله وإنّا إليه راجعون.</w:t>
      </w:r>
    </w:p>
    <w:p>
      <w:pPr>
        <w:pStyle w:val="Heading1"/>
        <w:pageBreakBefore/>
        <w:bidi/>
        <w:spacing w:after="160" w:before="120" w:line="360"/>
        <w:jc w:val="center"/>
      </w:pPr>
      <w:r>
        <w:rPr>
          <w:rFonts w:ascii="Simplified Arabic" w:cs="Simplified Arabic" w:eastAsia="Simplified Arabic" w:hAnsi="Simplified Arabic"/>
          <w:b/>
          <w:bCs/>
          <w:color w:val="000000"/>
          <w:sz w:val="32"/>
          <w:szCs w:val="32"/>
          <w:rtl/>
        </w:rPr>
        <w:t xml:space="preserve">الفهارس</w:t>
      </w:r>
    </w:p>
    <w:p>
      <w:pPr>
        <w:bidi/>
        <w:spacing w:after="80" w:line="300"/>
        <w:jc w:val="center"/>
      </w:pPr>
      <w:r>
        <w:rPr>
          <w:rFonts w:ascii="Simplified Arabic" w:cs="Simplified Arabic" w:eastAsia="Simplified Arabic" w:hAnsi="Simplified Arabic"/>
          <w:b/>
          <w:bCs/>
          <w:sz w:val="28"/>
          <w:szCs w:val="28"/>
          <w:rtl/>
        </w:rPr>
        <w:t xml:space="preserve">فهرس الآيات القرآنيّة.</w:t>
      </w:r>
    </w:p>
    <w:p>
      <w:pPr>
        <w:bidi/>
        <w:spacing w:after="80" w:line="300"/>
        <w:jc w:val="center"/>
      </w:pPr>
      <w:r>
        <w:rPr>
          <w:rFonts w:ascii="Simplified Arabic" w:cs="Simplified Arabic" w:eastAsia="Simplified Arabic" w:hAnsi="Simplified Arabic"/>
          <w:b/>
          <w:bCs/>
          <w:sz w:val="28"/>
          <w:szCs w:val="28"/>
          <w:rtl/>
        </w:rPr>
        <w:t xml:space="preserve">فهرس الأحاديث النبويّة.</w:t>
      </w:r>
    </w:p>
    <w:p>
      <w:pPr>
        <w:bidi/>
        <w:spacing w:after="80" w:line="300"/>
        <w:jc w:val="center"/>
      </w:pPr>
      <w:r>
        <w:rPr>
          <w:rFonts w:ascii="Simplified Arabic" w:cs="Simplified Arabic" w:eastAsia="Simplified Arabic" w:hAnsi="Simplified Arabic"/>
          <w:b/>
          <w:bCs/>
          <w:sz w:val="28"/>
          <w:szCs w:val="28"/>
          <w:rtl/>
        </w:rPr>
        <w:t xml:space="preserve">فهرس الأعلام.</w:t>
      </w:r>
    </w:p>
    <w:p>
      <w:pPr>
        <w:bidi/>
        <w:spacing w:after="80" w:line="300"/>
        <w:jc w:val="center"/>
      </w:pPr>
      <w:r>
        <w:rPr>
          <w:rFonts w:ascii="Simplified Arabic" w:cs="Simplified Arabic" w:eastAsia="Simplified Arabic" w:hAnsi="Simplified Arabic"/>
          <w:b/>
          <w:bCs/>
          <w:sz w:val="28"/>
          <w:szCs w:val="28"/>
          <w:rtl/>
        </w:rPr>
        <w:t xml:space="preserve">فهرس المصادر والمراجع.</w:t>
      </w:r>
    </w:p>
    <w:p>
      <w:pPr>
        <w:bidi/>
        <w:spacing w:after="80" w:line="30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0" w:line="480"/>
        <w:jc w:val="lowKashida"/>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0" w:line="480"/>
        <w:jc w:val="right"/>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80" w:before="12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0" w:line="480"/>
        <w:jc w:val="lowKashida"/>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120" w:before="16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76">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7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9">
    <w:p>
      <w:pPr>
        <w:bidi/>
        <w:spacing w:line="240"/>
      </w:pPr>
      <w:r>
        <w:rPr>
          <w:rStyle w:val="FootnoteReference"/>
        </w:rPr>
        <w:footnoteRef/>
      </w:r>
      <w:r>
        <w:rPr>
          <w:rFonts w:ascii="Simplified Arabic" w:cs="Simplified Arabic" w:eastAsia="Simplified Arabic" w:hAnsi="Simplified Arabic"/>
          <w:sz w:val="22"/>
          <w:szCs w:val="22"/>
          <w:rtl/>
        </w:rPr>
        <w:t xml:space="preserve"> مركز الفتوى بإسلام ويب. فتوى رقم (9005): حكم رفع الأجهزة عن الميت دماغيًا. https://www.islamweb.net/ar/fatwa/9005</w:t>
      </w:r>
    </w:p>
  </w:footnote>
  <w:footnote w:id="18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8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8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8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8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k1r_nq81jqhq6atozuzm" Type="http://schemas.openxmlformats.org/officeDocument/2006/relationships/hyperlink" Target="https://journals.ekb.eg/article_368941_0.html" TargetMode="External"/><Relationship Id="rId--vkgs-theo7qrarpjkid" Type="http://schemas.openxmlformats.org/officeDocument/2006/relationships/hyperlink" Target="https://mjle.journals.ekb.eg/article_368941_50690f4113b5efc26ad3acb040dabad4.pdf" TargetMode="External"/><Relationship Id="rIdwumneb2d4dwctqzjwtddi" Type="http://schemas.openxmlformats.org/officeDocument/2006/relationships/hyperlink" Target="https://search.mandumah.com/Record/1633970" TargetMode="External"/><Relationship Id="rIdx1jmvwvid5xjctx4yts7o" Type="http://schemas.openxmlformats.org/officeDocument/2006/relationships/hyperlink" Target="https://doi.org/10.65414/najsp.v2i4.281" TargetMode="External"/><Relationship Id="rIdzue-z3o9cggzfod49mivz" Type="http://schemas.openxmlformats.org/officeDocument/2006/relationships/hyperlink" Target="https://doi.org/10.61353/ma.0000141" TargetMode="External"/><Relationship Id="rIdsczd2lz3si9gsjsywvril" Type="http://schemas.openxmlformats.org/officeDocument/2006/relationships/hyperlink" Target="https://www.researchgate.net/publication/393318043" TargetMode="External"/><Relationship Id="rIdef4ziyosehpqkx3saik6m" Type="http://schemas.openxmlformats.org/officeDocument/2006/relationships/hyperlink" Target="https://bcchj.uobabylon.edu.iq/index.php/bcchj/ar/article/view/1016" TargetMode="External"/><Relationship Id="rIdzl_jzolnoua1hqw5jzkis" Type="http://schemas.openxmlformats.org/officeDocument/2006/relationships/hyperlink" Target="https://asjp.cerist.dz/en/article/198662" TargetMode="External"/><Relationship Id="rIdkdgsqtbhvdmvrxxmjdkrh" Type="http://schemas.openxmlformats.org/officeDocument/2006/relationships/hyperlink" Target="https://search.mandumah.com/Record/1232048" TargetMode="External"/><Relationship Id="rIdrm4m7qw-jaorj3mdw2pxn" Type="http://schemas.openxmlformats.org/officeDocument/2006/relationships/hyperlink" Target="https://journals.alqasimia.ac.ae/index.php/ssis/article/view/66" TargetMode="External"/><Relationship Id="rIdg-83mvyhhguhyojccyhw5" Type="http://schemas.openxmlformats.org/officeDocument/2006/relationships/hyperlink" Target="https://www.ajrsp.com/vol/issue31/" TargetMode="External"/><Relationship Id="rIdnjizacpfehbzwcqqtghls" Type="http://schemas.openxmlformats.org/officeDocument/2006/relationships/hyperlink" Target="https://dspace.univ-eloued.dz/handle/123456789/15831" TargetMode="External"/><Relationship Id="rIdrgcfzfgupp58vbtg-nlfj" Type="http://schemas.openxmlformats.org/officeDocument/2006/relationships/hyperlink" Target="https://asjp.cerist.dz/en/article/91461" TargetMode="External"/><Relationship Id="rIdzf1p1tbrcafq7km-8rljf" Type="http://schemas.openxmlformats.org/officeDocument/2006/relationships/hyperlink" Target="https://asjp.cerist.dz/en/article/26599" TargetMode="External"/><Relationship Id="rIdfz_osls7zjgqmin7wgl4p" Type="http://schemas.openxmlformats.org/officeDocument/2006/relationships/hyperlink" Target="https://www.damascusuniversity.edu.sy/mag/law/images/stories/479-500.pdf" TargetMode="External"/><Relationship Id="rId-mxoybsiiueexiikabjhh" Type="http://schemas.openxmlformats.org/officeDocument/2006/relationships/hyperlink" Target="https://search.mandumah.com/Record/167975" TargetMode="External"/><Relationship Id="rIdwt9rsx8t3cxspszbgnrjq" Type="http://schemas.openxmlformats.org/officeDocument/2006/relationships/hyperlink" Target="https://iifa-aifi.org/ar/journal" TargetMode="External"/><Relationship Id="rIdesz_wfhlysujbf0ut5iwy" Type="http://schemas.openxmlformats.org/officeDocument/2006/relationships/hyperlink" Target="https://www.cambridge.org/core/services/aop-cambridge-core/content/view/F891733330C5E4ADCB8C5BB0235E271F" TargetMode="External"/><Relationship Id="rId1c-dhznizsx_5wqtnsz08" Type="http://schemas.openxmlformats.org/officeDocument/2006/relationships/hyperlink" Target="https://doi.org/10.3389/fneur.2024.1491263" TargetMode="External"/><Relationship Id="rIdqhyy3bsvkun_7ozutwh24" Type="http://schemas.openxmlformats.org/officeDocument/2006/relationships/hyperlink" Target="https://www.walshmedicalmedia.com/open-access/clinical-death-a-reversible-state-of-cardiac-arrest-119791.html" TargetMode="External"/><Relationship Id="rIdmxyuzkprpfzv88k3isvxe" Type="http://schemas.openxmlformats.org/officeDocument/2006/relationships/hyperlink" Target="https://doi.org/10.1212/WNL.0000000000207740" TargetMode="External"/><Relationship Id="rIdoeww_8x4wvipxfk273ufd" Type="http://schemas.openxmlformats.org/officeDocument/2006/relationships/hyperlink" Target="https://doi.org/10.1001/jama.2020.11586" TargetMode="External"/><Relationship Id="rIdu0-sxrv0v7p0ulg-sp51i" Type="http://schemas.openxmlformats.org/officeDocument/2006/relationships/hyperlink" Target="https://doi.org/10.1038/nrneurol.2017.172" TargetMode="External"/><Relationship Id="rIdncstkuw0uxyxbji6rl4so" Type="http://schemas.openxmlformats.org/officeDocument/2006/relationships/hyperlink" Target="https://pmc.ncbi.nlm.nih.gov/articles/PMC7595719/" TargetMode="External"/><Relationship Id="rId9rzbnzepoailekncaibyn" Type="http://schemas.openxmlformats.org/officeDocument/2006/relationships/hyperlink" Target="https://doi.org/10.1212/WNL.0000000000006750" TargetMode="External"/><Relationship Id="rId1p4wrg4v8dikaog0yfpmf" Type="http://schemas.openxmlformats.org/officeDocument/2006/relationships/hyperlink" Target="https://doi.org/10.2147/MB.S70369" TargetMode="External"/><Relationship Id="rIdm7fetu4_sr34xz0t7uwmd" Type="http://schemas.openxmlformats.org/officeDocument/2006/relationships/hyperlink" Target="http://jama.jamanetwork.com/article.aspx?articleid=1818922" TargetMode="External"/><Relationship Id="rId8" Type="http://schemas.openxmlformats.org/officeDocument/2006/relationships/image" Target="media/6ecaf26581e153dde661010a0b6699c66e3a5ef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2026-08-16T19:18:16.483Z</dcterms:created>
  <dcterms:modified xsi:type="dcterms:W3CDTF">2026-08-16T19:18:16.484Z</dcterms:modified>
</cp:coreProperties>
</file>

<file path=docProps/custom.xml><?xml version="1.0" encoding="utf-8"?>
<Properties xmlns="http://schemas.openxmlformats.org/officeDocument/2006/custom-properties" xmlns:vt="http://schemas.openxmlformats.org/officeDocument/2006/docPropsVTypes"/>
</file>