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cs="David"/>
          <w:b/>
          <w:bCs/>
          <w:sz w:val="28"/>
          <w:szCs w:val="28"/>
          <w:rtl w:val="1"/>
        </w:rPr>
        <w:t>עבודה מסכמת בקורס “נוער בסיכון: נושאים מתקדמים”</w:t>
      </w:r>
    </w:p>
    <w:p>
      <w:pPr>
        <w:spacing w:line="360" w:lineRule="auto" w:before="0" w:after="40"/>
        <w:jc w:val="center"/>
        <w:bidi w:val="1"/>
      </w:pPr>
      <w:r>
        <w:rPr>
          <w:rFonts w:ascii="David" w:hAnsi="David" w:cs="David"/>
          <w:sz w:val="24"/>
          <w:szCs w:val="24"/>
          <w:rtl w:val="1"/>
        </w:rPr>
        <w:t>מרצה: אתי אנשל  |  סמסטר ב′, תשפ“ו</w:t>
      </w:r>
    </w:p>
    <w:p>
      <w:pPr>
        <w:spacing w:line="360" w:lineRule="auto" w:before="0" w:after="40"/>
        <w:jc w:val="center"/>
        <w:bidi w:val="1"/>
      </w:pPr>
      <w:r>
        <w:rPr>
          <w:rFonts w:ascii="David" w:hAnsi="David" w:cs="David"/>
          <w:sz w:val="24"/>
          <w:szCs w:val="24"/>
          <w:rtl w:val="1"/>
        </w:rPr>
        <w:t>הסרט: “מורה לחיים” (The Ron Clark Story)</w:t>
      </w:r>
    </w:p>
    <w:p>
      <w:pPr>
        <w:spacing w:line="360" w:lineRule="auto" w:before="0" w:after="200"/>
        <w:jc w:val="center"/>
        <w:bidi w:val="1"/>
      </w:pPr>
      <w:r>
        <w:rPr>
          <w:rFonts w:ascii="David" w:hAnsi="David" w:cs="David"/>
          <w:sz w:val="24"/>
          <w:szCs w:val="24"/>
          <w:rtl w:val="1"/>
        </w:rPr>
        <w:t>שם: ______________    ת“ז: ______________</w:t>
      </w:r>
    </w:p>
    <w:p>
      <w:pPr>
        <w:spacing w:line="360" w:lineRule="auto" w:before="160" w:after="80"/>
        <w:jc w:val="right"/>
        <w:bidi w:val="1"/>
      </w:pPr>
      <w:r>
        <w:rPr>
          <w:rFonts w:ascii="David" w:hAnsi="David" w:cs="David"/>
          <w:b/>
          <w:bCs/>
          <w:sz w:val="26"/>
          <w:szCs w:val="26"/>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cs="David"/>
          <w:b/>
          <w:bCs/>
          <w:sz w:val="24"/>
          <w:szCs w:val="24"/>
          <w:rtl w:val="1"/>
        </w:rPr>
        <w:t>(הדמות שבחרתי: טיישון)</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מבין מופעי ההתנהגות אפשר למנות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(ביבי, אורן-צ′יפמן ובלנרו-אדיב, 2016; פונגי, אלן וביטמן, 2008).</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המופע הבולט של טיישון הוא “הרס וכיליון”. תוקפנות שלא עברה עידון וויסות הופכת להרסנות, מתוך תחושה שאין לו מה להפסיד.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cs="David"/>
          <w:b/>
          <w:bCs/>
          <w:sz w:val="24"/>
          <w:szCs w:val="24"/>
          <w:rtl w:val="1"/>
        </w:rPr>
        <w:t xml:space="preserve">ג. </w:t>
      </w:r>
      <w:r>
        <w:rPr>
          <w:rFonts w:ascii="David" w:hAnsi="David" w:cs="David"/>
          <w:sz w:val="24"/>
          <w:szCs w:val="24"/>
          <w:rtl w:val="1"/>
        </w:rPr>
        <w:t>בעולמה הפנימי של הדמות פועלים יחסי אובייקט מוקדמים של חסך ונטישה. טיישון לא זכה לאם טובה דיה, ונותר בו אותו “חור שחור” של כמיהה לא ממומשת למגע פיזי ונפשי.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וזהו ביטוי מובהק של פחד מקרבה: משחית, מתריס ומאיים לעזוב, כדי לבדוק אם כשיש למבוגר כוח וקרבה הוא ינצל אותם נגדו. ההרס הזה הוא, במונחי “הרס האובייקט” של ויניקוט, תקיפה של האובייקט המטפל מתוך משאלה שישרוד וימשיך להתקיים עבורו. ההעברה הנגדית גלויה: קלארק מגיע לרגע שפל ואומר למריסה “אני מוותר”, בדיוק הייאוש שהילד מפקיד בו דרך הזדהות השלכתית, כפי שביון מתאר את ההכלה.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cs="David"/>
          <w:b/>
          <w:bCs/>
          <w:sz w:val="26"/>
          <w:szCs w:val="26"/>
          <w:rtl w:val="1"/>
        </w:rPr>
        <w:t>שאלה 2 – אחזקה שלמה: holding ו-handling בקטע של “אתי, אם הבית”</w:t>
      </w:r>
    </w:p>
    <w:p>
      <w:pPr>
        <w:spacing w:line="360" w:lineRule="auto" w:before="0" w:after="120"/>
        <w:jc w:val="both"/>
        <w:bidi w:val="1"/>
      </w:pPr>
      <w:r>
        <w:rPr>
          <w:rFonts w:ascii="David" w:hAnsi="David" w:cs="David"/>
          <w:sz w:val="24"/>
          <w:szCs w:val="24"/>
          <w:rtl w:val="1"/>
        </w:rPr>
        <w:t>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בהבחנתו של ויניקוט בין עצמי אמיתי לעצמי כוזב. זהו ההיבט ההתפתחותי: מה שהתחיל כטיפול פיזי חיצוני נעשה עם הזמן מבנה פנימי (ביבי, אורן-צ′יפמן ובלנרו-אדיב, 2016; ויניקוט, 1971).</w:t>
      </w:r>
    </w:p>
    <w:p>
      <w:pPr>
        <w:spacing w:line="360" w:lineRule="auto" w:before="0" w:after="120"/>
        <w:jc w:val="both"/>
        <w:bidi w:val="1"/>
      </w:pPr>
      <w:r>
        <w:rPr>
          <w:rFonts w:ascii="David" w:hAnsi="David" w:cs="David"/>
          <w:sz w:val="24"/>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cs="David"/>
          <w:b/>
          <w:bCs/>
          <w:sz w:val="26"/>
          <w:szCs w:val="26"/>
          <w:rtl w:val="1"/>
        </w:rPr>
        <w:t>שאלה 3 – דמות איש הצוות: רון קלארק</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העיקרון המנחה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(ביבי, אורן-צ′יפמן ובלנרו-אדיב, 2016).</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המאפיינים המרכזיים הנדרשים מאיש 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cs="David"/>
          <w:b/>
          <w:bCs/>
          <w:sz w:val="24"/>
          <w:szCs w:val="24"/>
          <w:rtl w:val="1"/>
        </w:rPr>
        <w:t xml:space="preserve">מאפיין ראשון – היכולת ליציבות, בין עמידה לתנועה. </w:t>
      </w:r>
      <w:r>
        <w:rPr>
          <w:rFonts w:ascii="David" w:hAnsi="David" w:cs="David"/>
          <w:sz w:val="24"/>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זוהי היכולת ליציבות שבין עמידה לתנועה, עמדה פנימית ברורה ועקבית לצד גמישות והתאמה, בלי “הליכה אל הקצוות”, והצבת הגבול כאן היא “גבול כנתינה” ו“מעשה של אהבה”, לא שרירות. השפעה על התלמידים: מעבר מכאוס למבנה, סדר יום ורצף שמייצרים מרחב בטוח עם עוגנים ומחזקים אצלם את ה′אני′ (ביבי ואח′, 2016).</w:t>
      </w:r>
    </w:p>
    <w:p>
      <w:pPr>
        <w:spacing w:line="360" w:lineRule="auto" w:before="0" w:after="120"/>
        <w:jc w:val="both"/>
        <w:bidi w:val="1"/>
      </w:pPr>
      <w:r>
        <w:rPr>
          <w:rFonts w:ascii="David" w:hAnsi="David" w:cs="David"/>
          <w:b/>
          <w:bCs/>
          <w:sz w:val="24"/>
          <w:szCs w:val="24"/>
          <w:rtl w:val="1"/>
        </w:rPr>
        <w:t xml:space="preserve">מאפיין שני – היכולת להיות משמעותי ולשאת תלות. </w:t>
      </w:r>
      <w:r>
        <w:rPr>
          <w:rFonts w:ascii="David" w:hAnsi="David" w:cs="David"/>
          <w:sz w:val="24"/>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(Calheiros et al., 2021).</w:t>
      </w:r>
    </w:p>
    <w:p>
      <w:pPr>
        <w:spacing w:line="360" w:lineRule="auto" w:before="0" w:after="120"/>
        <w:jc w:val="both"/>
        <w:bidi w:val="1"/>
      </w:pPr>
      <w:r>
        <w:rPr>
          <w:rFonts w:ascii="David" w:hAnsi="David" w:cs="David"/>
          <w:b/>
          <w:bCs/>
          <w:sz w:val="24"/>
          <w:szCs w:val="24"/>
          <w:rtl w:val="1"/>
        </w:rPr>
        <w:t xml:space="preserve">מאפיין שלישי – היכולת להתמסר, הבחירה להעניק. </w:t>
      </w:r>
      <w:r>
        <w:rPr>
          <w:rFonts w:ascii="David" w:hAnsi="David" w:cs="David"/>
          <w:sz w:val="24"/>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cs="David"/>
          <w:b/>
          <w:bCs/>
          <w:sz w:val="24"/>
          <w:szCs w:val="24"/>
          <w:rtl w:val="1"/>
        </w:rPr>
        <w:t xml:space="preserve">ג. ומה אתי? (רפלקציה אישית). </w:t>
      </w:r>
      <w:r>
        <w:rPr>
          <w:rFonts w:ascii="David" w:hAnsi="David" w:cs="David"/>
          <w:sz w:val="24"/>
          <w:szCs w:val="24"/>
          <w:rtl w:val="1"/>
        </w:rPr>
        <w:t>[חלק זה יש להתאים אישית] מאפיין שאני מרגישה שקיים בי הוא היכולת ליציבות. אני נוטה להחזיק גבול ברוגע גם כשסוער, ולחפש דרך יצירתית במקום להיגרר ל“מאבק כוחות”, כלומר לנוע בין עמידה לתנועה בלי ליפול ל“הליכה אל הקצוות”. מאפיין שחסר לי, לפחות חלקית, הוא היכולת לשאת תלות ולהיות משמעותי. יש בי חשש להיות המוקד שאליו נער מפנה תלות מוחלטת, ולעיתים אני שומרת מרחק כדי לא להסתכן. אני מבינה שזה קשור גם לצורך שלי ב“תגמול חיצוני”, בעוד שבעבודה הזאת ה“תגמול הפנימי” הוא הכוח המניע, וכדי לפתח את היכולת הזאת אני זקוקה בעצמי לסביבה יציבה ולהדרכה (ביבי ואח′, 2016).</w:t>
      </w:r>
    </w:p>
    <w:p>
      <w:pPr>
        <w:spacing w:line="360" w:lineRule="auto" w:before="160" w:after="80"/>
        <w:jc w:val="right"/>
        <w:bidi w:val="1"/>
      </w:pPr>
      <w:r>
        <w:rPr>
          <w:rFonts w:ascii="David" w:hAnsi="David" w:cs="David"/>
          <w:b/>
          <w:bCs/>
          <w:sz w:val="26"/>
          <w:szCs w:val="26"/>
          <w:rtl w:val="1"/>
        </w:rPr>
        <w:t>שאלה 4 – שאלת רפלקציה</w:t>
      </w:r>
    </w:p>
    <w:p>
      <w:pPr>
        <w:spacing w:line="360" w:lineRule="auto" w:before="0" w:after="80"/>
        <w:jc w:val="right"/>
        <w:bidi w:val="1"/>
      </w:pPr>
      <w:r>
        <w:rPr>
          <w:rFonts w:ascii="David" w:hAnsi="David" w:cs="David"/>
          <w:b/>
          <w:bCs/>
          <w:sz w:val="22"/>
          <w:szCs w:val="22"/>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cs="David"/>
          <w:b/>
          <w:bCs/>
          <w:sz w:val="24"/>
          <w:szCs w:val="24"/>
          <w:rtl w:val="1"/>
        </w:rPr>
        <w:t xml:space="preserve">א. </w:t>
      </w:r>
      <w:r>
        <w:rPr>
          <w:rFonts w:ascii="David" w:hAnsi="David" w:cs="David"/>
          <w:b/>
          <w:bCs/>
          <w:sz w:val="24"/>
          <w:szCs w:val="24"/>
          <w:rtl w:val="1"/>
        </w:rPr>
        <w:t xml:space="preserve">מה שחידש לי. </w:t>
      </w:r>
      <w:r>
        <w:rPr>
          <w:rFonts w:ascii="David" w:hAnsi="David" w:cs="David"/>
          <w:sz w:val="24"/>
          <w:szCs w:val="24"/>
          <w:rtl w:val="1"/>
        </w:rPr>
        <w:t>ברמה התיאורטית, הדבר שחידש והפתיע אותי יותר מכול הוא הרעיון ש“התנהגות היא שפה”. עד הקורס נטיתי לראות התפרצות או חוצפה כ“בעיית משמעת” שצריך לעצור, והיום אני שומעת מתחתה שאלה: מה הילד מנסה לספר ואיזה חוסר הוא מבטא. ברמה האישית נגע לליבי להבין כמה מהתגובות שלי לילדים נובעות מיחסי האובייקט המוקדמים שלי עצמי, ושגם אני, כאיש צוות, זקוקה להיות מוחזקת. דוגמה קונקרטית לשינוי תפיסה: מול נער שהתפרץ עליי בעבר הייתי מגיבה מיד בגבול ובעונש, והיום הייתי מתכווננת ומכילה קודם, ורק אז מציבה גבול כמעשה מיטיב.</w:t>
      </w:r>
    </w:p>
    <w:p>
      <w:pPr>
        <w:spacing w:line="360" w:lineRule="auto" w:before="0" w:after="120"/>
        <w:jc w:val="both"/>
        <w:bidi w:val="1"/>
      </w:pPr>
      <w:r>
        <w:rPr>
          <w:rFonts w:ascii="David" w:hAnsi="David" w:cs="David"/>
          <w:b/>
          <w:bCs/>
          <w:sz w:val="24"/>
          <w:szCs w:val="24"/>
          <w:rtl w:val="1"/>
        </w:rPr>
        <w:t xml:space="preserve">ב. </w:t>
      </w:r>
      <w:r>
        <w:rPr>
          <w:rFonts w:ascii="David" w:hAnsi="David" w:cs="David"/>
          <w:b/>
          <w:bCs/>
          <w:sz w:val="24"/>
          <w:szCs w:val="24"/>
          <w:rtl w:val="1"/>
        </w:rPr>
        <w:t xml:space="preserve">הקשר בין התיאוריה לפרקטיקה. </w:t>
      </w:r>
      <w:r>
        <w:rPr>
          <w:rFonts w:ascii="David" w:hAnsi="David" w:cs="David"/>
          <w:sz w:val="24"/>
          <w:szCs w:val="24"/>
          <w:rtl w:val="1"/>
        </w:rPr>
        <w:t>בעבודתי עם הנוער הקשר הזה מתבטא בשגרה, בסדר היום ובגבולות היומיומיים, שאני מבינה עכשיו כ-handling ו-holding ולא כ“רעש במערכת”, ובהבנה שהצבת גבול היא “נתינה”. גם מול הרס אני מנסה “לשרוד” בלי להישבר ולראות בהתנהגות מופע שמספר סיפור, במקום עבירת משמעת שיש להעניש.</w:t>
      </w:r>
    </w:p>
    <w:p>
      <w:pPr>
        <w:spacing w:line="360" w:lineRule="auto" w:before="0" w:after="120"/>
        <w:jc w:val="both"/>
        <w:bidi w:val="1"/>
      </w:pPr>
      <w:r>
        <w:rPr>
          <w:rFonts w:ascii="David" w:hAnsi="David" w:cs="David"/>
          <w:b/>
          <w:bCs/>
          <w:sz w:val="24"/>
          <w:szCs w:val="24"/>
          <w:rtl w:val="1"/>
        </w:rPr>
        <w:t xml:space="preserve">ג. </w:t>
      </w:r>
      <w:r>
        <w:rPr>
          <w:rFonts w:ascii="David" w:hAnsi="David" w:cs="David"/>
          <w:b/>
          <w:bCs/>
          <w:sz w:val="24"/>
          <w:szCs w:val="24"/>
          <w:rtl w:val="1"/>
        </w:rPr>
        <w:t xml:space="preserve">מה שהיה חסר. </w:t>
      </w:r>
      <w:r>
        <w:rPr>
          <w:rFonts w:ascii="David" w:hAnsi="David" w:cs="David"/>
          <w:sz w:val="24"/>
          <w:szCs w:val="24"/>
          <w:rtl w:val="1"/>
        </w:rPr>
        <w:t>הייתי רוצה שנרחיב בכלים מעשיים לרגעים של הצפה בזמן אמת, וכן במקום מובנה לעבד את מה שהעבודה הזאת מעוררת בנו כאנשי צוות, אולי דרך הדרכה קבוצתית כ-on-going-process.</w:t>
      </w:r>
    </w:p>
    <w:p>
      <w:pPr>
        <w:spacing w:line="360" w:lineRule="auto" w:before="0" w:after="120"/>
        <w:jc w:val="both"/>
        <w:bidi w:val="1"/>
      </w:pPr>
      <w:r>
        <w:rPr>
          <w:rFonts w:ascii="David" w:hAnsi="David" w:cs="David"/>
          <w:b/>
          <w:bCs/>
          <w:sz w:val="24"/>
          <w:szCs w:val="24"/>
          <w:rtl w:val="1"/>
        </w:rPr>
        <w:t xml:space="preserve">ד. </w:t>
      </w:r>
      <w:r>
        <w:rPr>
          <w:rFonts w:ascii="David" w:hAnsi="David" w:cs="David"/>
          <w:b/>
          <w:bCs/>
          <w:sz w:val="24"/>
          <w:szCs w:val="24"/>
          <w:rtl w:val="1"/>
        </w:rPr>
        <w:t xml:space="preserve">הערה לסיום. </w:t>
      </w:r>
      <w:r>
        <w:rPr>
          <w:rFonts w:ascii="David" w:hAnsi="David" w:cs="David"/>
          <w:sz w:val="24"/>
          <w:szCs w:val="24"/>
          <w:rtl w:val="1"/>
        </w:rPr>
        <w:t>מה שהשפיע עליי יותר מכול הוא שהקורס נתן לי שפה למה שכבר עשיתי באינטואיציה, וההבנה שהעבודה הפשוטה והיומיומית היא עצמה הטיפול (ביון, 1962; ביבי ואח′, 2016).</w:t>
      </w:r>
    </w:p>
    <w:p>
      <w:pPr>
        <w:spacing w:line="360" w:lineRule="auto" w:before="160" w:after="80"/>
        <w:jc w:val="right"/>
        <w:bidi w:val="1"/>
      </w:pPr>
      <w:r>
        <w:rPr>
          <w:rFonts w:ascii="David" w:hAnsi="David" w:cs="David"/>
          <w:b/>
          <w:bCs/>
          <w:sz w:val="26"/>
          <w:szCs w:val="26"/>
          <w:rtl w:val="1"/>
        </w:rPr>
        <w:t>רשימת מקורות</w:t>
      </w:r>
    </w:p>
    <w:p>
      <w:pPr>
        <w:spacing w:line="360" w:lineRule="auto" w:before="0" w:after="60"/>
        <w:jc w:val="right"/>
        <w:bidi w:val="1"/>
      </w:pPr>
      <w:r>
        <w:rPr>
          <w:rFonts w:ascii="David" w:hAnsi="David" w:cs="David"/>
          <w:sz w:val="22"/>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cs="David"/>
          <w:sz w:val="22"/>
          <w:szCs w:val="22"/>
          <w:rtl w:val="1"/>
        </w:rPr>
        <w:t>ביון, ו′ (1962). למידה מן הניסיון.</w:t>
      </w:r>
    </w:p>
    <w:p>
      <w:pPr>
        <w:spacing w:line="360" w:lineRule="auto" w:before="0" w:after="60"/>
        <w:jc w:val="right"/>
        <w:bidi w:val="1"/>
      </w:pPr>
      <w:r>
        <w:rPr>
          <w:rFonts w:ascii="David" w:hAnsi="David" w:cs="David"/>
          <w:sz w:val="22"/>
          <w:szCs w:val="22"/>
          <w:rtl w:val="1"/>
        </w:rPr>
        <w:t>ויניקוט, ד′ ו′ (1971). משחק ומציאות.</w:t>
      </w:r>
    </w:p>
    <w:p>
      <w:pPr>
        <w:spacing w:line="360" w:lineRule="auto" w:before="0" w:after="60"/>
        <w:jc w:val="right"/>
        <w:bidi w:val="1"/>
      </w:pPr>
      <w:r>
        <w:rPr>
          <w:rFonts w:ascii="David" w:hAnsi="David" w:cs="David"/>
          <w:sz w:val="22"/>
          <w:szCs w:val="22"/>
          <w:rtl w:val="1"/>
        </w:rPr>
        <w:t>פונגי, פ′, אלן, ג′, וביטמן, א′ (2008). טיפול מבוסס-מנטליזציה.</w:t>
      </w:r>
    </w:p>
    <w:p>
      <w:pPr>
        <w:spacing w:line="360" w:lineRule="auto" w:before="0" w:after="60"/>
        <w:jc w:val="right"/>
        <w:bidi w:val="1"/>
      </w:pPr>
      <w:r>
        <w:rPr>
          <w:rFonts w:ascii="David" w:hAnsi="David" w:cs="David"/>
          <w:sz w:val="22"/>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cs="David"/>
          <w:b/>
          <w:bCs/>
          <w:sz w:val="26"/>
          <w:szCs w:val="26"/>
          <w:rtl w:val="1"/>
        </w:rPr>
        <w:t>נספח לשאלה 2 – סימון handling ו-holding בקטע “אתי, אם הבית” (עמ′ 91–94)</w:t>
      </w:r>
    </w:p>
    <w:p>
      <w:pPr>
        <w:spacing w:line="360" w:lineRule="auto" w:before="0" w:after="120"/>
        <w:jc w:val="right"/>
        <w:bidi w:val="1"/>
      </w:pPr>
      <w:r>
        <w:rPr>
          <w:rFonts w:ascii="David" w:hAnsi="David" w:cs="David"/>
          <w:b/>
          <w:bCs/>
          <w:sz w:val="24"/>
          <w:szCs w:val="24"/>
          <w:rtl w:val="1"/>
        </w:rPr>
        <w:t xml:space="preserve">מקרא:  </w:t>
      </w:r>
      <w:r>
        <w:rPr>
          <w:rFonts w:ascii="David" w:hAnsi="David" w:cs="David"/>
          <w:sz w:val="24"/>
          <w:szCs w:val="24"/>
          <w:highlight w:val="cyan"/>
          <w:rtl w:val="1"/>
        </w:rPr>
        <w:t xml:space="preserve"> handling (ניהול פיזי / מציאות) </w:t>
      </w:r>
      <w:r>
        <w:rPr>
          <w:rFonts w:ascii="David" w:hAnsi="David" w:cs="David"/>
          <w:sz w:val="24"/>
          <w:szCs w:val="24"/>
          <w:rtl w:val="1"/>
        </w:rPr>
        <w:t xml:space="preserve">     </w:t>
      </w:r>
      <w:r>
        <w:rPr>
          <w:rFonts w:ascii="David" w:hAnsi="David" w:cs="David"/>
          <w:sz w:val="24"/>
          <w:szCs w:val="24"/>
          <w:highlight w:val="yellow"/>
          <w:rtl w:val="1"/>
        </w:rPr>
        <w:t xml:space="preserve"> holding (החזקה רגשית / משמעות) </w:t>
      </w:r>
    </w:p>
    <w:p>
      <w:pPr>
        <w:spacing w:line="360" w:lineRule="auto" w:before="0" w:after="120"/>
        <w:jc w:val="both"/>
        <w:bidi w:val="1"/>
      </w:pPr>
      <w:r>
        <w:rPr>
          <w:rFonts w:ascii="David" w:hAnsi="David" w:cs="David"/>
          <w:sz w:val="24"/>
          <w:szCs w:val="24"/>
          <w:rtl w:val="1"/>
        </w:rPr>
        <w:t xml:space="preserve">המטלות נחתו עלינו היום בזו אחר זו, </w:t>
      </w:r>
      <w:r>
        <w:rPr>
          <w:rFonts w:ascii="David" w:hAnsi="David" w:cs="David"/>
          <w:sz w:val="24"/>
          <w:szCs w:val="24"/>
          <w:highlight w:val="cyan"/>
          <w:rtl w:val="1"/>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cs="David"/>
          <w:sz w:val="24"/>
          <w:szCs w:val="24"/>
          <w:highlight w:val="yellow"/>
          <w:rtl w:val="1"/>
        </w:rPr>
        <w:t xml:space="preserve"> אמנם יש את אלה שנותרו מיניאטוריות, בעיקר בת-אל, שמטרידה אותי.</w:t>
      </w:r>
      <w:r>
        <w:rPr>
          <w:rFonts w:ascii="David" w:hAnsi="David" w:cs="David"/>
          <w:sz w:val="24"/>
          <w:szCs w:val="24"/>
          <w:rtl w:val="1"/>
        </w:rPr>
        <w:t xml:space="preserve"> </w:t>
      </w:r>
      <w:r>
        <w:rPr>
          <w:rFonts w:ascii="David" w:hAnsi="David" w:cs="David"/>
          <w:sz w:val="24"/>
          <w:szCs w:val="24"/>
          <w:highlight w:val="cyan"/>
          <w:rtl w:val="1"/>
        </w:rPr>
        <w:t>צריך להמשיך לעקוב אחר המשקל והגובה. אדווח על כך למדריכים.</w:t>
      </w:r>
      <w:r>
        <w:rPr>
          <w:rFonts w:ascii="David" w:hAnsi="David" w:cs="David"/>
          <w:sz w:val="24"/>
          <w:szCs w:val="24"/>
          <w:highlight w:val="yellow"/>
          <w:rtl w:val="1"/>
        </w:rPr>
        <w:t xml:space="preserve"> בתוך ים המחשבות, בעודי מוציאה את קלסר ה“תזונה”, אני חשה בתסכול שעולה בי ומציף אותי.</w:t>
      </w:r>
      <w:r>
        <w:rPr>
          <w:rFonts w:ascii="David" w:hAnsi="David" w:cs="David"/>
          <w:sz w:val="24"/>
          <w:szCs w:val="24"/>
          <w:highlight w:val="cyan"/>
          <w:rtl w:val="1"/>
        </w:rPr>
        <w:t xml:space="preserve"> מה עוד אפשר לעשות בעניין האכילה?</w:t>
      </w:r>
      <w:r>
        <w:rPr>
          <w:rFonts w:ascii="David" w:hAnsi="David" w:cs="David"/>
          <w:sz w:val="24"/>
          <w:szCs w:val="24"/>
          <w:highlight w:val="yellow"/>
          <w:rtl w:val="1"/>
        </w:rPr>
        <w:t xml:space="preserve"> למדתי שדרך האוכל והאכילה הבנות מספרות לנו הרבה על עצמן, אבל לפעמים אני מעדיפה שיספרו פחות. </w:t>
      </w:r>
      <w:r>
        <w:rPr>
          <w:rFonts w:ascii="David" w:hAnsi="David" w:cs="David"/>
          <w:sz w:val="24"/>
          <w:szCs w:val="24"/>
          <w:highlight w:val="yellow"/>
          <w:rtl w:val="1"/>
        </w:rPr>
        <w:t xml:space="preserve">אתמול הרגשתי כאילו חלום מתגשם. נטלי, שבמשך שנה אכלה בצורה שדוחה את הבנות שלידה, </w:t>
      </w:r>
      <w:r>
        <w:rPr>
          <w:rFonts w:ascii="David" w:hAnsi="David" w:cs="David"/>
          <w:sz w:val="24"/>
          <w:szCs w:val="24"/>
          <w:highlight w:val="cyan"/>
          <w:rtl w:val="1"/>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cs="David"/>
          <w:sz w:val="24"/>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cs="David"/>
          <w:sz w:val="24"/>
          <w:szCs w:val="24"/>
          <w:highlight w:val="yellow"/>
          <w:rtl w:val="1"/>
        </w:rPr>
        <w:t>ברגעים כאלה תמיד עולה בי שוב ושוב השאלה: מהיכן העוצמות ההרסניות האלה? למה להרוס ולנתץ? הרי אחר כך הן מצטערות כל כך.</w:t>
      </w:r>
      <w:r>
        <w:rPr>
          <w:rFonts w:ascii="David" w:hAnsi="David" w:cs="David"/>
          <w:sz w:val="24"/>
          <w:szCs w:val="24"/>
          <w:rtl w:val="1"/>
        </w:rPr>
        <w:t xml:space="preserve"> נילי מספרת לי על ההתפרצות של מיכל וליאת, ושהיה קשה מאוד להרגיע אותן. </w:t>
      </w:r>
      <w:r>
        <w:rPr>
          <w:rFonts w:ascii="David" w:hAnsi="David" w:cs="David"/>
          <w:sz w:val="24"/>
          <w:szCs w:val="24"/>
          <w:highlight w:val="yellow"/>
          <w:rtl w:val="1"/>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cs="David"/>
          <w:sz w:val="24"/>
          <w:szCs w:val="24"/>
          <w:highlight w:val="yellow"/>
          <w:rtl w:val="1"/>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cs="David"/>
          <w:sz w:val="24"/>
          <w:szCs w:val="24"/>
          <w:rtl w:val="1"/>
        </w:rPr>
        <w:t xml:space="preserve"> קבוצת הבנות ששבה מבית הספר ממטירה עליי טענות על מחושים שונים. </w:t>
      </w:r>
      <w:r>
        <w:rPr>
          <w:rFonts w:ascii="David" w:hAnsi="David" w:cs="David"/>
          <w:sz w:val="24"/>
          <w:szCs w:val="24"/>
          <w:highlight w:val="cyan"/>
          <w:rtl w:val="1"/>
        </w:rPr>
        <w:t>לאחת אני מדמיינת חלוק לבן, לרגע מודדת חום בכף ידי, לשנייה בודקת גרון, לשלישית מעסה את כף היד, ולכולן מבטיחה תה בסיום הארוחה.</w:t>
      </w:r>
      <w:r>
        <w:rPr>
          <w:rFonts w:ascii="David" w:hAnsi="David" w:cs="David"/>
          <w:sz w:val="24"/>
          <w:szCs w:val="24"/>
          <w:highlight w:val="yellow"/>
          <w:rtl w:val="1"/>
        </w:rPr>
        <w:t xml:space="preserve"> הן יודעות שאני יודעת, ובכל זאת. נחמד לדעת שאני לא מפספסת את אלה שבאמת חולות.</w:t>
      </w:r>
      <w:r>
        <w:rPr>
          <w:rFonts w:ascii="David" w:hAnsi="David" w:cs="David"/>
          <w:sz w:val="24"/>
          <w:szCs w:val="24"/>
          <w:highlight w:val="yellow"/>
          <w:rtl w:val="1"/>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cs="David"/>
          <w:sz w:val="24"/>
          <w:szCs w:val="24"/>
          <w:rtl w:val="1"/>
        </w:rPr>
        <w:t xml:space="preserve"> לפעמים קשה להיות אם בית. </w:t>
      </w:r>
      <w:r>
        <w:rPr>
          <w:rFonts w:ascii="David" w:hAnsi="David" w:cs="David"/>
          <w:sz w:val="24"/>
          <w:szCs w:val="24"/>
          <w:highlight w:val="cyan"/>
          <w:rtl w:val="1"/>
        </w:rPr>
        <w:t>כשמתאמצים שתהיה ארוחת ערב טעימה, רק כדי שכמה בנות יפרקו אותה ולא יאפשרו ליהנות מהפיצה ומהמרק שהושקע בהם עמל,</w:t>
      </w:r>
      <w:r>
        <w:rPr>
          <w:rFonts w:ascii="David" w:hAnsi="David" w:cs="David"/>
          <w:sz w:val="24"/>
          <w:szCs w:val="24"/>
          <w:highlight w:val="yellow"/>
          <w:rtl w:val="1"/>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cs="David"/>
          <w:sz w:val="24"/>
          <w:szCs w:val="24"/>
          <w:highlight w:val="yellow"/>
          <w:rtl w:val="1"/>
        </w:rPr>
        <w:t xml:space="preserve"> במטלות השגרתיות אין את תחושת הקסם, אבל בלעדיהן אי אפשר לטפל.</w:t>
      </w:r>
      <w:r>
        <w:rPr>
          <w:rFonts w:ascii="David" w:hAnsi="David" w:cs="David"/>
          <w:sz w:val="24"/>
          <w:szCs w:val="24"/>
          <w:highlight w:val="cyan"/>
          <w:rtl w:val="1"/>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cs="David"/>
          <w:sz w:val="24"/>
          <w:szCs w:val="24"/>
          <w:rtl w:val="1"/>
        </w:rPr>
        <w:t xml:space="preserve"> </w:t>
      </w:r>
      <w:r>
        <w:rPr>
          <w:rFonts w:ascii="David" w:hAnsi="David" w:cs="David"/>
          <w:sz w:val="24"/>
          <w:szCs w:val="24"/>
          <w:highlight w:val="yellow"/>
          <w:rtl w:val="1"/>
        </w:rPr>
        <w:t>ילדים צריכים להרגיש עטופים בחום.</w:t>
      </w:r>
    </w:p>
    <w:p>
      <w:pPr>
        <w:spacing w:line="360" w:lineRule="auto" w:before="120" w:after="120"/>
        <w:jc w:val="right"/>
        <w:bidi w:val="1"/>
      </w:pPr>
      <w:r>
        <w:rPr>
          <w:rFonts w:ascii="David" w:hAnsi="David" w:cs="David"/>
          <w:sz w:val="20"/>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