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0" w:before="0" w:line="360" w:lineRule="auto"/>
        <w:jc w:val="center"/>
      </w:pPr>
      <w:r>
        <w:rPr>
          <w:rFonts w:ascii="David" w:cs="David" w:eastAsia="David" w:hAnsi="David"/>
          <w:b/>
          <w:bCs/>
          <w:i w:val="false"/>
          <w:iCs w:val="false"/>
          <w:sz w:val="32"/>
          <w:szCs w:val="32"/>
          <w:rtl/>
        </w:rPr>
        <w:t xml:space="preserve">המכללה האקדמית הערבית לחינוך בישראל, חיפה</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שְׁתִיקָה בְּעֶרֶב אֶחָד</w:t>
      </w:r>
    </w:p>
    <w:p>
      <w:pPr>
        <w:bidi/>
        <w:spacing w:after="120" w:before="0" w:line="360" w:lineRule="auto"/>
        <w:jc w:val="center"/>
      </w:pPr>
      <w:r>
        <w:rPr>
          <w:rFonts w:ascii="David" w:cs="David" w:eastAsia="David" w:hAnsi="David"/>
          <w:b/>
          <w:bCs/>
          <w:i w:val="false"/>
          <w:iCs w:val="false"/>
          <w:sz w:val="32"/>
          <w:szCs w:val="32"/>
          <w:rt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sz w:val="32"/>
          <w:szCs w:val="32"/>
          <w:rtl/>
        </w:rPr>
        <w:t xml:space="preserve">בסיפור "דוב קוטב" מאת אתגר קרת</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שם הקורס: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המרצה: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הסטודנט/ית: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תוכן העניינים</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תקציר</w:t>
      </w:r>
      <w:r>
        <w:rPr>
          <w:rFonts w:ascii="David" w:cs="David" w:eastAsia="David" w:hAnsi="David"/>
          <w:sz w:val="26"/>
          <w:szCs w:val="26"/>
        </w:rPr>
        <w:tab/>
      </w:r>
      <w:r>
        <w:rPr>
          <w:rFonts w:ascii="David" w:cs="David" w:eastAsia="David" w:hAnsi="David"/>
          <w:sz w:val="26"/>
          <w:szCs w:val="26"/>
        </w:rPr>
        <w:t xml:space="preserve">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 מבוא</w:t>
      </w:r>
      <w:r>
        <w:rPr>
          <w:rFonts w:ascii="David" w:cs="David" w:eastAsia="David" w:hAnsi="David"/>
          <w:sz w:val="26"/>
          <w:szCs w:val="26"/>
        </w:rPr>
        <w:tab/>
      </w:r>
      <w:r>
        <w:rPr>
          <w:rFonts w:ascii="David" w:cs="David" w:eastAsia="David" w:hAnsi="David"/>
          <w:sz w:val="26"/>
          <w:szCs w:val="26"/>
        </w:rPr>
        <w:t xml:space="preserve">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1.1 שאלות המחקר</w:t>
      </w:r>
      <w:r>
        <w:rPr>
          <w:rFonts w:ascii="David" w:cs="David" w:eastAsia="David" w:hAnsi="David"/>
          <w:sz w:val="26"/>
          <w:szCs w:val="26"/>
        </w:rPr>
        <w:tab/>
      </w:r>
      <w:r>
        <w:rPr>
          <w:rFonts w:ascii="David" w:cs="David" w:eastAsia="David" w:hAnsi="David"/>
          <w:sz w:val="26"/>
          <w:szCs w:val="26"/>
        </w:rPr>
        <w:t xml:space="preserve">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1.2 מבנה העבודה</w:t>
      </w:r>
      <w:r>
        <w:rPr>
          <w:rFonts w:ascii="David" w:cs="David" w:eastAsia="David" w:hAnsi="David"/>
          <w:sz w:val="26"/>
          <w:szCs w:val="26"/>
        </w:rPr>
        <w:tab/>
      </w:r>
      <w:r>
        <w:rPr>
          <w:rFonts w:ascii="David" w:cs="David" w:eastAsia="David" w:hAnsi="David"/>
          <w:sz w:val="26"/>
          <w:szCs w:val="26"/>
        </w:rPr>
        <w:t xml:space="preserve">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2. רקע תאורטי</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2.1 הסיפור הקצר של קרת ומקומו של הזמן</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2.2 העתיד כז'אנר בספרות העברית העכשווית</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2.3 בדידות בזקנה ומענים טכנולוגיים</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2.4 האנשה, אפקט אלייזה וגבולות ההבנה של המכונה</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2.5 שכול לאחר התאבדות ודיכוי מחשבות</w:t>
      </w:r>
      <w:r>
        <w:rPr>
          <w:rFonts w:ascii="David" w:cs="David" w:eastAsia="David" w:hAnsi="David"/>
          <w:sz w:val="26"/>
          <w:szCs w:val="26"/>
        </w:rPr>
        <w:tab/>
      </w:r>
      <w:r>
        <w:rPr>
          <w:rFonts w:ascii="David" w:cs="David" w:eastAsia="David" w:hAnsi="David"/>
          <w:sz w:val="26"/>
          <w:szCs w:val="26"/>
        </w:rPr>
        <w:t xml:space="preserve">8</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3. מסגרת הסיפור: טכנולוגיה שמאבדת עניין</w:t>
      </w:r>
      <w:r>
        <w:rPr>
          <w:rFonts w:ascii="David" w:cs="David" w:eastAsia="David" w:hAnsi="David"/>
          <w:sz w:val="26"/>
          <w:szCs w:val="26"/>
        </w:rPr>
        <w:tab/>
      </w:r>
      <w:r>
        <w:rPr>
          <w:rFonts w:ascii="David" w:cs="David" w:eastAsia="David" w:hAnsi="David"/>
          <w:sz w:val="26"/>
          <w:szCs w:val="26"/>
        </w:rPr>
        <w:t xml:space="preserve">10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3.1 משפט הפתיחה</w:t>
      </w:r>
      <w:r>
        <w:rPr>
          <w:rFonts w:ascii="David" w:cs="David" w:eastAsia="David" w:hAnsi="David"/>
          <w:sz w:val="26"/>
          <w:szCs w:val="26"/>
        </w:rPr>
        <w:tab/>
      </w:r>
      <w:r>
        <w:rPr>
          <w:rFonts w:ascii="David" w:cs="David" w:eastAsia="David" w:hAnsi="David"/>
          <w:sz w:val="26"/>
          <w:szCs w:val="26"/>
        </w:rPr>
        <w:t xml:space="preserve">10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3.2 שלוש התשובות המשובשות</w:t>
      </w:r>
      <w:r>
        <w:rPr>
          <w:rFonts w:ascii="David" w:cs="David" w:eastAsia="David" w:hAnsi="David"/>
          <w:sz w:val="26"/>
          <w:szCs w:val="26"/>
        </w:rPr>
        <w:tab/>
      </w:r>
      <w:r>
        <w:rPr>
          <w:rFonts w:ascii="David" w:cs="David" w:eastAsia="David" w:hAnsi="David"/>
          <w:sz w:val="26"/>
          <w:szCs w:val="26"/>
        </w:rPr>
        <w:t xml:space="preserve">10</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3.3 המומחים והתקשורת</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3.4 המעבר אל הפרט</w:t>
      </w:r>
      <w:r>
        <w:rPr>
          <w:rFonts w:ascii="David" w:cs="David" w:eastAsia="David" w:hAnsi="David"/>
          <w:sz w:val="26"/>
          <w:szCs w:val="26"/>
        </w:rPr>
        <w:tab/>
      </w:r>
      <w:r>
        <w:rPr>
          <w:rFonts w:ascii="David" w:cs="David" w:eastAsia="David" w:hAnsi="David"/>
          <w:sz w:val="26"/>
          <w:szCs w:val="26"/>
        </w:rPr>
        <w:t xml:space="preserve">11</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4. ברכה בוחניק: כיצד נבנית בדידות</w:t>
      </w:r>
      <w:r>
        <w:rPr>
          <w:rFonts w:ascii="David" w:cs="David" w:eastAsia="David" w:hAnsi="David"/>
          <w:sz w:val="26"/>
          <w:szCs w:val="26"/>
        </w:rPr>
        <w:tab/>
      </w:r>
      <w:r>
        <w:rPr>
          <w:rFonts w:ascii="David" w:cs="David" w:eastAsia="David" w:hAnsi="David"/>
          <w:sz w:val="26"/>
          <w:szCs w:val="26"/>
        </w:rPr>
        <w:t xml:space="preserve">12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4.1 שם המקום והמוסד</w:t>
      </w:r>
      <w:r>
        <w:rPr>
          <w:rFonts w:ascii="David" w:cs="David" w:eastAsia="David" w:hAnsi="David"/>
          <w:sz w:val="26"/>
          <w:szCs w:val="26"/>
        </w:rPr>
        <w:tab/>
      </w:r>
      <w:r>
        <w:rPr>
          <w:rFonts w:ascii="David" w:cs="David" w:eastAsia="David" w:hAnsi="David"/>
          <w:sz w:val="26"/>
          <w:szCs w:val="26"/>
        </w:rPr>
        <w:t xml:space="preserve">12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4.2 דוב הקוטב וכותרת הסיפור</w:t>
      </w:r>
      <w:r>
        <w:rPr>
          <w:rFonts w:ascii="David" w:cs="David" w:eastAsia="David" w:hAnsi="David"/>
          <w:sz w:val="26"/>
          <w:szCs w:val="26"/>
        </w:rPr>
        <w:tab/>
      </w:r>
      <w:r>
        <w:rPr>
          <w:rFonts w:ascii="David" w:cs="David" w:eastAsia="David" w:hAnsi="David"/>
          <w:sz w:val="26"/>
          <w:szCs w:val="26"/>
        </w:rPr>
        <w:t xml:space="preserve">12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4.3 סרחיו והרשימה בקווים נטויים</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4.4 הרכוש שנשאר</w:t>
      </w:r>
      <w:r>
        <w:rPr>
          <w:rFonts w:ascii="David" w:cs="David" w:eastAsia="David" w:hAnsi="David"/>
          <w:sz w:val="26"/>
          <w:szCs w:val="26"/>
        </w:rPr>
        <w:tab/>
      </w:r>
      <w:r>
        <w:rPr>
          <w:rFonts w:ascii="David" w:cs="David" w:eastAsia="David" w:hAnsi="David"/>
          <w:sz w:val="26"/>
          <w:szCs w:val="26"/>
        </w:rPr>
        <w:t xml:space="preserve">13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4.5 המלצתה של פנינה</w:t>
      </w:r>
      <w:r>
        <w:rPr>
          <w:rFonts w:ascii="David" w:cs="David" w:eastAsia="David" w:hAnsi="David"/>
          <w:sz w:val="26"/>
          <w:szCs w:val="26"/>
        </w:rPr>
        <w:tab/>
      </w:r>
      <w:r>
        <w:rPr>
          <w:rFonts w:ascii="David" w:cs="David" w:eastAsia="David" w:hAnsi="David"/>
          <w:sz w:val="26"/>
          <w:szCs w:val="26"/>
        </w:rPr>
        <w:t xml:space="preserve">13</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5. הדיאלוג עם זיגמונד</w:t>
      </w:r>
      <w:r>
        <w:rPr>
          <w:rFonts w:ascii="David" w:cs="David" w:eastAsia="David" w:hAnsi="David"/>
          <w:sz w:val="26"/>
          <w:szCs w:val="26"/>
        </w:rPr>
        <w:tab/>
      </w:r>
      <w:r>
        <w:rPr>
          <w:rFonts w:ascii="David" w:cs="David" w:eastAsia="David" w:hAnsi="David"/>
          <w:sz w:val="26"/>
          <w:szCs w:val="26"/>
        </w:rPr>
        <w:t xml:space="preserve">15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5.1 צורת התמליל</w:t>
      </w:r>
      <w:r>
        <w:rPr>
          <w:rFonts w:ascii="David" w:cs="David" w:eastAsia="David" w:hAnsi="David"/>
          <w:sz w:val="26"/>
          <w:szCs w:val="26"/>
        </w:rPr>
        <w:tab/>
      </w:r>
      <w:r>
        <w:rPr>
          <w:rFonts w:ascii="David" w:cs="David" w:eastAsia="David" w:hAnsi="David"/>
          <w:sz w:val="26"/>
          <w:szCs w:val="26"/>
        </w:rPr>
        <w:t xml:space="preserve">15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5.2 מזג האוויר: "האם אתה חושב" מול "אני יודע בוודאות"</w:t>
      </w:r>
      <w:r>
        <w:rPr>
          <w:rFonts w:ascii="David" w:cs="David" w:eastAsia="David" w:hAnsi="David"/>
          <w:sz w:val="26"/>
          <w:szCs w:val="26"/>
        </w:rPr>
        <w:tab/>
      </w:r>
      <w:r>
        <w:rPr>
          <w:rFonts w:ascii="David" w:cs="David" w:eastAsia="David" w:hAnsi="David"/>
          <w:sz w:val="26"/>
          <w:szCs w:val="26"/>
        </w:rPr>
        <w:t xml:space="preserve">15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5.3 טקס ההדדיות</w:t>
      </w:r>
      <w:r>
        <w:rPr>
          <w:rFonts w:ascii="David" w:cs="David" w:eastAsia="David" w:hAnsi="David"/>
          <w:sz w:val="26"/>
          <w:szCs w:val="26"/>
        </w:rPr>
        <w:tab/>
      </w:r>
      <w:r>
        <w:rPr>
          <w:rFonts w:ascii="David" w:cs="David" w:eastAsia="David" w:hAnsi="David"/>
          <w:sz w:val="26"/>
          <w:szCs w:val="26"/>
        </w:rPr>
        <w:t xml:space="preserve">15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5.4 הרשומה על סרחיו</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5.5 מתיחה מול שקר</w:t>
      </w:r>
      <w:r>
        <w:rPr>
          <w:rFonts w:ascii="David" w:cs="David" w:eastAsia="David" w:hAnsi="David"/>
          <w:sz w:val="26"/>
          <w:szCs w:val="26"/>
        </w:rPr>
        <w:tab/>
      </w:r>
      <w:r>
        <w:rPr>
          <w:rFonts w:ascii="David" w:cs="David" w:eastAsia="David" w:hAnsi="David"/>
          <w:sz w:val="26"/>
          <w:szCs w:val="26"/>
        </w:rPr>
        <w:t xml:space="preserve">17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5.6 הספרים והבוידעם</w:t>
      </w:r>
      <w:r>
        <w:rPr>
          <w:rFonts w:ascii="David" w:cs="David" w:eastAsia="David" w:hAnsi="David"/>
          <w:sz w:val="26"/>
          <w:szCs w:val="26"/>
        </w:rPr>
        <w:tab/>
      </w:r>
      <w:r>
        <w:rPr>
          <w:rFonts w:ascii="David" w:cs="David" w:eastAsia="David" w:hAnsi="David"/>
          <w:sz w:val="26"/>
          <w:szCs w:val="26"/>
        </w:rPr>
        <w:t xml:space="preserve">18</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6. הסיום: השתיקה והחשיכה</w:t>
      </w:r>
      <w:r>
        <w:rPr>
          <w:rFonts w:ascii="David" w:cs="David" w:eastAsia="David" w:hAnsi="David"/>
          <w:sz w:val="26"/>
          <w:szCs w:val="26"/>
        </w:rPr>
        <w:tab/>
      </w:r>
      <w:r>
        <w:rPr>
          <w:rFonts w:ascii="David" w:cs="David" w:eastAsia="David" w:hAnsi="David"/>
          <w:sz w:val="26"/>
          <w:szCs w:val="26"/>
        </w:rPr>
        <w:t xml:space="preserve">19</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6.1 השאלה שבאמת נשאלה</w:t>
      </w:r>
      <w:r>
        <w:rPr>
          <w:rFonts w:ascii="David" w:cs="David" w:eastAsia="David" w:hAnsi="David"/>
          <w:sz w:val="26"/>
          <w:szCs w:val="26"/>
        </w:rPr>
        <w:tab/>
      </w:r>
      <w:r>
        <w:rPr>
          <w:rFonts w:ascii="David" w:cs="David" w:eastAsia="David" w:hAnsi="David"/>
          <w:sz w:val="26"/>
          <w:szCs w:val="26"/>
        </w:rPr>
        <w:t xml:space="preserve">19</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6.2 "זיגמונד לא ענה"</w:t>
      </w:r>
      <w:r>
        <w:rPr>
          <w:rFonts w:ascii="David" w:cs="David" w:eastAsia="David" w:hAnsi="David"/>
          <w:sz w:val="26"/>
          <w:szCs w:val="26"/>
        </w:rPr>
        <w:tab/>
      </w:r>
      <w:r>
        <w:rPr>
          <w:rFonts w:ascii="David" w:cs="David" w:eastAsia="David" w:hAnsi="David"/>
          <w:sz w:val="26"/>
          <w:szCs w:val="26"/>
        </w:rPr>
        <w:t xml:space="preserve">19</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6.3 החושך שהולך ומתעצם</w:t>
      </w:r>
      <w:r>
        <w:rPr>
          <w:rFonts w:ascii="David" w:cs="David" w:eastAsia="David" w:hAnsi="David"/>
          <w:sz w:val="26"/>
          <w:szCs w:val="26"/>
        </w:rPr>
        <w:tab/>
      </w:r>
      <w:r>
        <w:rPr>
          <w:rFonts w:ascii="David" w:cs="David" w:eastAsia="David" w:hAnsi="David"/>
          <w:sz w:val="26"/>
          <w:szCs w:val="26"/>
        </w:rPr>
        <w:t xml:space="preserve">20</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7. דיון</w:t>
      </w:r>
      <w:r>
        <w:rPr>
          <w:rFonts w:ascii="David" w:cs="David" w:eastAsia="David" w:hAnsi="David"/>
          <w:sz w:val="26"/>
          <w:szCs w:val="26"/>
        </w:rPr>
        <w:tab/>
      </w:r>
      <w:r>
        <w:rPr>
          <w:rFonts w:ascii="David" w:cs="David" w:eastAsia="David" w:hAnsi="David"/>
          <w:sz w:val="26"/>
          <w:szCs w:val="26"/>
        </w:rPr>
        <w:t xml:space="preserve">21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7.1 בדידות שנבנית ולא מוצהרת</w:t>
      </w:r>
      <w:r>
        <w:rPr>
          <w:rFonts w:ascii="David" w:cs="David" w:eastAsia="David" w:hAnsi="David"/>
          <w:sz w:val="26"/>
          <w:szCs w:val="26"/>
        </w:rPr>
        <w:tab/>
      </w:r>
      <w:r>
        <w:rPr>
          <w:rFonts w:ascii="David" w:cs="David" w:eastAsia="David" w:hAnsi="David"/>
          <w:sz w:val="26"/>
          <w:szCs w:val="26"/>
        </w:rPr>
        <w:t xml:space="preserve">21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7.2 תפקידה של המכונה: מענה בלי הבנה</w:t>
      </w:r>
      <w:r>
        <w:rPr>
          <w:rFonts w:ascii="David" w:cs="David" w:eastAsia="David" w:hAnsi="David"/>
          <w:sz w:val="26"/>
          <w:szCs w:val="26"/>
        </w:rPr>
        <w:tab/>
      </w:r>
      <w:r>
        <w:rPr>
          <w:rFonts w:ascii="David" w:cs="David" w:eastAsia="David" w:hAnsi="David"/>
          <w:sz w:val="26"/>
          <w:szCs w:val="26"/>
        </w:rPr>
        <w:t xml:space="preserve">21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7.3 השתיקה כפסק דין</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7.4 הצורה כטענה</w:t>
      </w:r>
      <w:r>
        <w:rPr>
          <w:rFonts w:ascii="David" w:cs="David" w:eastAsia="David" w:hAnsi="David"/>
          <w:sz w:val="26"/>
          <w:szCs w:val="26"/>
        </w:rPr>
        <w:tab/>
      </w:r>
      <w:r>
        <w:rPr>
          <w:rFonts w:ascii="David" w:cs="David" w:eastAsia="David" w:hAnsi="David"/>
          <w:sz w:val="26"/>
          <w:szCs w:val="26"/>
        </w:rPr>
        <w:t xml:space="preserve">23</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8. סיכום ומסקנות</w:t>
      </w:r>
      <w:r>
        <w:rPr>
          <w:rFonts w:ascii="David" w:cs="David" w:eastAsia="David" w:hAnsi="David"/>
          <w:sz w:val="26"/>
          <w:szCs w:val="26"/>
        </w:rPr>
        <w:tab/>
      </w:r>
      <w:r>
        <w:rPr>
          <w:rFonts w:ascii="David" w:cs="David" w:eastAsia="David" w:hAnsi="David"/>
          <w:sz w:val="26"/>
          <w:szCs w:val="26"/>
        </w:rPr>
        <w:t xml:space="preserve">24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8.1 המלצות יישומיות</w:t>
      </w:r>
      <w:r>
        <w:rPr>
          <w:rFonts w:ascii="David" w:cs="David" w:eastAsia="David" w:hAnsi="David"/>
          <w:sz w:val="26"/>
          <w:szCs w:val="26"/>
        </w:rPr>
        <w:tab/>
      </w:r>
      <w:r>
        <w:rPr>
          <w:rFonts w:ascii="David" w:cs="David" w:eastAsia="David" w:hAnsi="David"/>
          <w:sz w:val="26"/>
          <w:szCs w:val="26"/>
        </w:rPr>
        <w:t xml:space="preserve">24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8.2 מגבלות והצעות למחקר המשך</w:t>
      </w:r>
      <w:r>
        <w:rPr>
          <w:rFonts w:ascii="David" w:cs="David" w:eastAsia="David" w:hAnsi="David"/>
          <w:sz w:val="26"/>
          <w:szCs w:val="26"/>
        </w:rPr>
        <w:tab/>
      </w:r>
      <w:r>
        <w:rPr>
          <w:rFonts w:ascii="David" w:cs="David" w:eastAsia="David" w:hAnsi="David"/>
          <w:sz w:val="26"/>
          <w:szCs w:val="26"/>
        </w:rPr>
        <w:t xml:space="preserve">25</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9. ביבליוגרפיה</w:t>
      </w:r>
      <w:r>
        <w:rPr>
          <w:rFonts w:ascii="David" w:cs="David" w:eastAsia="David" w:hAnsi="David"/>
          <w:sz w:val="26"/>
          <w:szCs w:val="26"/>
        </w:rPr>
        <w:tab/>
      </w:r>
      <w:r>
        <w:rPr>
          <w:rFonts w:ascii="David" w:cs="David" w:eastAsia="David" w:hAnsi="David"/>
          <w:sz w:val="26"/>
          <w:szCs w:val="26"/>
        </w:rPr>
        <w:t xml:space="preserve">26</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10. רפלקציה</w:t>
      </w:r>
      <w:r>
        <w:rPr>
          <w:rFonts w:ascii="David" w:cs="David" w:eastAsia="David" w:hAnsi="David"/>
          <w:sz w:val="26"/>
          <w:szCs w:val="26"/>
        </w:rPr>
        <w:tab/>
      </w:r>
      <w:r>
        <w:rPr>
          <w:rFonts w:ascii="David" w:cs="David" w:eastAsia="David" w:hAnsi="David"/>
          <w:sz w:val="26"/>
          <w:szCs w:val="26"/>
        </w:rPr>
        <w:t xml:space="preserve">28</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11. נספחים</w:t>
      </w:r>
      <w:r>
        <w:rPr>
          <w:rFonts w:ascii="David" w:cs="David" w:eastAsia="David" w:hAnsi="David"/>
          <w:sz w:val="26"/>
          <w:szCs w:val="26"/>
        </w:rPr>
        <w:tab/>
      </w:r>
      <w:r>
        <w:rPr>
          <w:rFonts w:ascii="David" w:cs="David" w:eastAsia="David" w:hAnsi="David"/>
          <w:sz w:val="26"/>
          <w:szCs w:val="26"/>
        </w:rPr>
        <w:t xml:space="preserve">30</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תקציר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מנתחת את הסיפור "דוב קוטב" מאת אתגר קרת,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בזקנה, בינה מלאכותית, האנשה, שכול לאחר התאבדות, ספרות עתיד, "דוב קוטב".</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 מבוא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pPr>
      <w:r>
        <w:rPr>
          <w:rFonts w:ascii="David" w:cs="David" w:eastAsia="David" w:hAnsi="David"/>
          <w:b/>
          <w:bCs/>
          <w:i w:val="false"/>
          <w:iCs w:val="false"/>
          <w:sz w:val="30"/>
          <w:szCs w:val="30"/>
          <w:rtl/>
        </w:rPr>
        <w:t xml:space="preserve">1.2 מבנה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pPr>
      <w:r>
        <w:rPr>
          <w:rFonts w:ascii="David" w:cs="David" w:eastAsia="David" w:hAnsi="David"/>
          <w:b/>
          <w:bCs/>
          <w:i w:val="false"/>
          <w:iCs w:val="false"/>
          <w:sz w:val="30"/>
          <w:szCs w:val="30"/>
          <w:rtl/>
        </w:rPr>
        <w:t xml:space="preserve">2.1 הסיפור הקצר של קרת ומקומו של הזמן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קרתי שם־טוב (Karti Shemtov, 2018) בוחנת את היחס אל הזמן בכתיבתו של קרת וטוענת כי סיפוריו נמנעים מן ההיגיון של סיום. הם אינם מובילים אל פתרון ואינם מציעים לקורא נחמה של סגירה, אלא נקטעים ברגע שבו הקורא מצפה להמשך. הטענה הזאת חשובה לעבודה הנוכחית, משום ש"דוב קוטב" מסתיים במשפט שמתאר תהליך מתמשך ולא מצב שהושג.</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לצד היחס אל הזמן, בולטים בכתיבתו של קרת שלושה מאפיינים נוספים. הקיצור, שאינו רק אילוץ צורני אלא הצהרה על מיעוט הזמן והקשב שיש בעולם המתואר. הלשון המדוברת, המסרבת למשלב גבוה ומקרבת את הסיפור אל שיחה. והסירוב לפאתוס, שמתבטא בכך שרגעי השיא מנוסחים דווקא במשפטים קצרים וסתמיים.</w:t>
      </w:r>
    </w:p>
    <w:p>
      <w:pPr>
        <w:pStyle w:val="Heading2"/>
        <w:bidi/>
        <w:spacing w:after="140" w:before="280" w:line="360" w:lineRule="auto"/>
        <w:jc w:val="right"/>
      </w:pPr>
      <w:r>
        <w:rPr>
          <w:rFonts w:ascii="David" w:cs="David" w:eastAsia="David" w:hAnsi="David"/>
          <w:b/>
          <w:bCs/>
          <w:i w:val="false"/>
          <w:iCs w:val="false"/>
          <w:sz w:val="30"/>
          <w:szCs w:val="30"/>
          <w:rtl/>
        </w:rPr>
        <w:t xml:space="preserve">2.2 העתיד כז'אנר בספרות העברית העכשווית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קרתי שם־טוב וגומל (2017) מציעות להרחיב את מפת הז'אנרים של העתיד בספרות העברית ולזהות בה מרחב שאינו אוטופי ואינו דיסטופי במובן המקובל. במרחב הזה העתיד אינו נושא הבטחה של תיקון ואינו נושא איום של חורבן, אלא מציג המשך אפור של ההווה, שבו הדברים פשוט נשחקים. הן מציעות למרחב הזה מינוח נפרד, ומראות שהוא מאפשר לספרות העברית לעסוק בעתיד בלי להתחייב לא לתקווה ולא לאסון.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pPr>
      <w:r>
        <w:rPr>
          <w:rFonts w:ascii="David" w:cs="David" w:eastAsia="David" w:hAnsi="David"/>
          <w:b/>
          <w:bCs/>
          <w:i w:val="false"/>
          <w:iCs w:val="false"/>
          <w:sz w:val="30"/>
          <w:szCs w:val="30"/>
          <w:rtl/>
        </w:rPr>
        <w:t xml:space="preserve">2.3 בדידות בזקנה ומענים טכנולוגיים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הבדידות בזקנה נחקרה בישראל ובעולם כתופעה נפוצה בעלת השלכות רחבות. שיוביץ־עזרא (2011) מבחינה בין בידוד חברתי, שהוא מצב אובייקטיבי של מיעוט קשרים, לבין בדידות, שהיא התחושה הסובייקטיבית של פער בין הקשרים הרצויים לקשרים המצויים. ההבחנה הזאת רלוונטית ישירות לסיפור, משום שברכה בוחניק אינה מנותקת מן העולם. יש לה עובדת סוציאלית, יש לה מסגרת מגורים ויש לה גישה למחשב. מה שאין לה הוא בן שיח.</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pPr>
      <w:r>
        <w:rPr>
          <w:rFonts w:ascii="David" w:cs="David" w:eastAsia="David" w:hAnsi="David"/>
          <w:b/>
          <w:bCs/>
          <w:i w:val="false"/>
          <w:iCs w:val="false"/>
          <w:sz w:val="30"/>
          <w:szCs w:val="30"/>
          <w:rtl/>
        </w:rPr>
        <w:t xml:space="preserve">2.4 האנשה, אפקט אלייזה וגבולות ההבנה של המכונה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מחקר עכשווי מוסיף לכך את הממד העיצובי. מא ועמיתיו (Ma et al., 2025) בדקו כיצד רמת ההאנשה של ממשק שיחה משפיעה על חוויית המשתמש, ומצאו שהאנשה גבוהה נקשרת לתחושה מוגברת של אמפתיה ושל אמון. הממצא הזה חשוב לניתוח משום שהוא מלמד כי תחושת ההבנה שהמשתמש חווה היא תוצר של עיצוב, ולא בהכרח עדות ליכולת. הסיפור של קרת עושה בדיוק את ההבחנה הזאת כשהוא מטמיע בתמליל השיחה הוראת בימוי מפורשת של פאוזה.</w:t>
      </w:r>
    </w:p>
    <w:p>
      <w:pPr>
        <w:pStyle w:val="Heading2"/>
        <w:bidi/>
        <w:spacing w:after="140" w:before="280" w:line="360" w:lineRule="auto"/>
        <w:jc w:val="right"/>
      </w:pPr>
      <w:r>
        <w:rPr>
          <w:rFonts w:ascii="David" w:cs="David" w:eastAsia="David" w:hAnsi="David"/>
          <w:b/>
          <w:bCs/>
          <w:i w:val="false"/>
          <w:iCs w:val="false"/>
          <w:sz w:val="30"/>
          <w:szCs w:val="30"/>
          <w:rtl/>
        </w:rPr>
        <w:t xml:space="preserve">2.5 שכול לאחר התאבדות ודיכוי מחשבות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לרגשות האובדן והעצב מצטרפים אצל שכולי התאבדות רגשות של אשמה, בלבול, דחייה ובושה, וכי שיעורי האבל המורכב בקבוצה הזאת גבוהים יחסית. אחד המאפיינים הבולטים הוא עיסוק חוזר בשאלה של אחריות ושל צדק, מסוג "האם הייתי יכולה למנוע" או "מי מאיתנו צדק". בסיפור, השאלה הזאת מנוסחת במפורש.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3. מסגרת הסיפור: טכנולוגיה שמאבדת עניין</w:t>
      </w:r>
    </w:p>
    <w:p>
      <w:pPr>
        <w:pStyle w:val="Heading2"/>
        <w:bidi/>
        <w:spacing w:after="140" w:before="280" w:line="360" w:lineRule="auto"/>
        <w:jc w:val="right"/>
      </w:pPr>
      <w:r>
        <w:rPr>
          <w:rFonts w:ascii="David" w:cs="David" w:eastAsia="David" w:hAnsi="David"/>
          <w:b/>
          <w:bCs/>
          <w:i w:val="false"/>
          <w:iCs w:val="false"/>
          <w:sz w:val="30"/>
          <w:szCs w:val="30"/>
          <w:rtl/>
        </w:rPr>
        <w:t xml:space="preserve">3.1 משפט הפתיחה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pPr>
      <w:r>
        <w:rPr>
          <w:rFonts w:ascii="David" w:cs="David" w:eastAsia="David" w:hAnsi="David"/>
          <w:b/>
          <w:bCs/>
          <w:i w:val="false"/>
          <w:iCs w:val="false"/>
          <w:sz w:val="30"/>
          <w:szCs w:val="30"/>
          <w:rtl/>
        </w:rPr>
        <w:t xml:space="preserve">3.2 שלוש התשובות המשובשות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pPr>
      <w:r>
        <w:rPr>
          <w:rFonts w:ascii="David" w:cs="David" w:eastAsia="David" w:hAnsi="David"/>
          <w:b/>
          <w:bCs/>
          <w:i w:val="false"/>
          <w:iCs w:val="false"/>
          <w:sz w:val="30"/>
          <w:szCs w:val="30"/>
          <w:rtl/>
        </w:rPr>
        <w:t xml:space="preserve">3.3 המומחים והתקשורת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pPr>
      <w:r>
        <w:rPr>
          <w:rFonts w:ascii="David" w:cs="David" w:eastAsia="David" w:hAnsi="David"/>
          <w:b/>
          <w:bCs/>
          <w:i w:val="false"/>
          <w:iCs w:val="false"/>
          <w:sz w:val="30"/>
          <w:szCs w:val="30"/>
          <w:rtl/>
        </w:rPr>
        <w:t xml:space="preserve">3.4 המעבר אל הפרט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4. ברכה בוחניק: כיצד נבנית בדידות</w:t>
      </w:r>
    </w:p>
    <w:p>
      <w:pPr>
        <w:pStyle w:val="Heading2"/>
        <w:bidi/>
        <w:spacing w:after="140" w:before="280" w:line="360" w:lineRule="auto"/>
        <w:jc w:val="right"/>
      </w:pPr>
      <w:r>
        <w:rPr>
          <w:rFonts w:ascii="David" w:cs="David" w:eastAsia="David" w:hAnsi="David"/>
          <w:b/>
          <w:bCs/>
          <w:i w:val="false"/>
          <w:iCs w:val="false"/>
          <w:sz w:val="30"/>
          <w:szCs w:val="30"/>
          <w:rtl/>
        </w:rPr>
        <w:t xml:space="preserve">4.1 שם המקום והמוסד</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המוסד מתפקד היטב. יש דיור, יש עובדת סוציאלית, יש מחשב. במונחיה של שיוביץ־עזרא (2011), ברכה אינה נמצאת בבידוד חברתי אובייקטיבי, שכן קשריה עם המערכת קיימים ופעילים. היא נמצאת בבדידות סובייקטיבית, שהיא הפער בין הקשר שהיא זקוקה לו לבין הקשר שהיא מקבלת. המערכת מספקת לה שירותים ולא נוכחות.</w:t>
      </w:r>
    </w:p>
    <w:p>
      <w:pPr>
        <w:pStyle w:val="Heading2"/>
        <w:bidi/>
        <w:spacing w:after="140" w:before="280" w:line="360" w:lineRule="auto"/>
        <w:jc w:val="right"/>
      </w:pPr>
      <w:r>
        <w:rPr>
          <w:rFonts w:ascii="David" w:cs="David" w:eastAsia="David" w:hAnsi="David"/>
          <w:b/>
          <w:bCs/>
          <w:i w:val="false"/>
          <w:iCs w:val="false"/>
          <w:sz w:val="30"/>
          <w:szCs w:val="30"/>
          <w:rtl/>
        </w:rPr>
        <w:t xml:space="preserve">4.2 דוב הקוטב וכותרת הסיפור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pPr>
      <w:r>
        <w:rPr>
          <w:rFonts w:ascii="David" w:cs="David" w:eastAsia="David" w:hAnsi="David"/>
          <w:b/>
          <w:bCs/>
          <w:i w:val="false"/>
          <w:iCs w:val="false"/>
          <w:sz w:val="30"/>
          <w:szCs w:val="30"/>
          <w:rtl/>
        </w:rPr>
        <w:t xml:space="preserve">4.3 סרחיו והרשימה בקווים נטויים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pPr>
      <w:r>
        <w:rPr>
          <w:rFonts w:ascii="David" w:cs="David" w:eastAsia="David" w:hAnsi="David"/>
          <w:b/>
          <w:bCs/>
          <w:i w:val="false"/>
          <w:iCs w:val="false"/>
          <w:sz w:val="30"/>
          <w:szCs w:val="30"/>
          <w:rtl/>
        </w:rPr>
        <w:t xml:space="preserve">4.4 הרכוש שנשאר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pPr>
      <w:r>
        <w:rPr>
          <w:rFonts w:ascii="David" w:cs="David" w:eastAsia="David" w:hAnsi="David"/>
          <w:b/>
          <w:bCs/>
          <w:i w:val="false"/>
          <w:iCs w:val="false"/>
          <w:sz w:val="30"/>
          <w:szCs w:val="30"/>
          <w:rtl/>
        </w:rPr>
        <w:t xml:space="preserve">4.5 המלצתה של פנינה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5. הדיאלוג עם זיגמונד</w:t>
      </w:r>
    </w:p>
    <w:p>
      <w:pPr>
        <w:pStyle w:val="Heading2"/>
        <w:bidi/>
        <w:spacing w:after="140" w:before="280" w:line="360" w:lineRule="auto"/>
        <w:jc w:val="right"/>
      </w:pPr>
      <w:r>
        <w:rPr>
          <w:rFonts w:ascii="David" w:cs="David" w:eastAsia="David" w:hAnsi="David"/>
          <w:b/>
          <w:bCs/>
          <w:i w:val="false"/>
          <w:iCs w:val="false"/>
          <w:sz w:val="30"/>
          <w:szCs w:val="30"/>
          <w:rtl/>
        </w:rPr>
        <w:t xml:space="preserve">5.1 צורת התמליל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pPr>
      <w:r>
        <w:rPr>
          <w:rFonts w:ascii="David" w:cs="David" w:eastAsia="David" w:hAnsi="David"/>
          <w:b/>
          <w:bCs/>
          <w:i w:val="false"/>
          <w:iCs w:val="false"/>
          <w:sz w:val="30"/>
          <w:szCs w:val="30"/>
          <w:rtl/>
        </w:rPr>
        <w:t xml:space="preserve">5.2 מזג האוויר: "האם אתה חושב" מול "אני יודע בוודאות"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pPr>
      <w:r>
        <w:rPr>
          <w:rFonts w:ascii="David" w:cs="David" w:eastAsia="David" w:hAnsi="David"/>
          <w:b/>
          <w:bCs/>
          <w:i w:val="false"/>
          <w:iCs w:val="false"/>
          <w:sz w:val="30"/>
          <w:szCs w:val="30"/>
          <w:rtl/>
        </w:rPr>
        <w:t xml:space="preserve">5.3 טקס ההדדיות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שלפיו רמת ההאנשה של ממשק מגדילה את תחושת האמפתיה והאמון של המשתמש, מסביר מדוע אפקט כזה משתלם למי שמעצב את המערכת.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pPr>
      <w:r>
        <w:rPr>
          <w:rFonts w:ascii="David" w:cs="David" w:eastAsia="David" w:hAnsi="David"/>
          <w:b/>
          <w:bCs/>
          <w:i w:val="false"/>
          <w:iCs w:val="false"/>
          <w:sz w:val="30"/>
          <w:szCs w:val="30"/>
          <w:rtl/>
        </w:rPr>
        <w:t xml:space="preserve">5.4 הרשומה על סרחיו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pPr>
      <w:r>
        <w:rPr>
          <w:rFonts w:ascii="David" w:cs="David" w:eastAsia="David" w:hAnsi="David"/>
          <w:b/>
          <w:bCs/>
          <w:i w:val="false"/>
          <w:iCs w:val="false"/>
          <w:sz w:val="30"/>
          <w:szCs w:val="30"/>
          <w:rtl/>
        </w:rPr>
        <w:t xml:space="preserve">5.5 מתיחה מול שקר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pPr>
      <w:r>
        <w:rPr>
          <w:rFonts w:ascii="David" w:cs="David" w:eastAsia="David" w:hAnsi="David"/>
          <w:b/>
          <w:bCs/>
          <w:i w:val="false"/>
          <w:iCs w:val="false"/>
          <w:sz w:val="30"/>
          <w:szCs w:val="30"/>
          <w:rtl/>
        </w:rPr>
        <w:t xml:space="preserve">5.6 הספרים והבוידעם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6. הסיום: השתיקה והחשיכה</w:t>
      </w:r>
    </w:p>
    <w:p>
      <w:pPr>
        <w:pStyle w:val="Heading2"/>
        <w:bidi/>
        <w:spacing w:after="140" w:before="280" w:line="360" w:lineRule="auto"/>
        <w:jc w:val="right"/>
      </w:pPr>
      <w:r>
        <w:rPr>
          <w:rFonts w:ascii="David" w:cs="David" w:eastAsia="David" w:hAnsi="David"/>
          <w:b/>
          <w:bCs/>
          <w:i w:val="false"/>
          <w:iCs w:val="false"/>
          <w:sz w:val="30"/>
          <w:szCs w:val="30"/>
          <w:rtl/>
        </w:rPr>
        <w:t xml:space="preserve">6.1 השאלה שבאמת נשאלה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הזה מתיישב עם התיאור המחקרי של שכול לאחר התאבדות, שבו הסיכון אינו מתבטא בהכרזה אלא בשחיקה מתמשכת (Young et al., 2012).</w:t>
      </w:r>
    </w:p>
    <w:p>
      <w:pPr>
        <w:pStyle w:val="Heading2"/>
        <w:bidi/>
        <w:spacing w:after="140" w:before="280" w:line="360" w:lineRule="auto"/>
        <w:jc w:val="right"/>
      </w:pPr>
      <w:r>
        <w:rPr>
          <w:rFonts w:ascii="David" w:cs="David" w:eastAsia="David" w:hAnsi="David"/>
          <w:b/>
          <w:bCs/>
          <w:i w:val="false"/>
          <w:iCs w:val="false"/>
          <w:sz w:val="30"/>
          <w:szCs w:val="30"/>
          <w:rtl/>
        </w:rPr>
        <w:t xml:space="preserve">6.2 "זיגמונד לא 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pPr>
      <w:r>
        <w:rPr>
          <w:rFonts w:ascii="David" w:cs="David" w:eastAsia="David" w:hAnsi="David"/>
          <w:b/>
          <w:bCs/>
          <w:i w:val="false"/>
          <w:iCs w:val="false"/>
          <w:sz w:val="30"/>
          <w:szCs w:val="30"/>
          <w:rtl/>
        </w:rPr>
        <w:t xml:space="preserve">6.3 החושך שהולך ומתעצם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האחרון אינו מתאר מצב אלא תהליך. החושך "הלך והתעצם", בהווה מתמשך, בלי סוף ובלי גאולה. הסירוב הזה לסגירה מתיישב עם קריאתה של קרתי שם־טוב (Karti Shemtov, 2018) בכתיבתו של קרת, שלפיה סיפוריו נמנעים מן ההיגיון של סיום ואינם מעניקים לקורא את הנחמה של נקודה אחרונה. כאן הסירוב אינו רק מהלך פואטי. הוא מוסרי. סיפור שהיה נחתם בסגירה היה מציע לקורא מנוחה שהדמות אינה מקבלת.</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7. דיון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pPr>
      <w:r>
        <w:rPr>
          <w:rFonts w:ascii="David" w:cs="David" w:eastAsia="David" w:hAnsi="David"/>
          <w:b/>
          <w:bCs/>
          <w:i w:val="false"/>
          <w:iCs w:val="false"/>
          <w:sz w:val="30"/>
          <w:szCs w:val="30"/>
          <w:rtl/>
        </w:rPr>
        <w:t xml:space="preserve">7.1 בדידות שנבנית ולא מוצהרת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 הזה מתיישב עם ההבחנה של שיוביץ־עזרא (2011) בין בידוד חברתי לבין בדידות. ברכה אינה מנותקת. יש לה מסגרת, יש לה עובדת סוציאלית ויש לה גישה לטכנולוגיה, כלומר במונחים אובייקטיביים המערכת מטפלת בה. הפער נמצא במקום אחר: בין הקשר שהיא זקוקה לו לבין הקשר שמוצע לה. הסיפור מדגים את ההבחנה הזאת בצורה שאין בה טענה מפורשת. הוא פשוט מראה אישה שיש לה כל השירותים ואין לה עם מי לדבר.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pPr>
      <w:r>
        <w:rPr>
          <w:rFonts w:ascii="David" w:cs="David" w:eastAsia="David" w:hAnsi="David"/>
          <w:b/>
          <w:bCs/>
          <w:i w:val="false"/>
          <w:iCs w:val="false"/>
          <w:sz w:val="30"/>
          <w:szCs w:val="30"/>
          <w:rtl/>
        </w:rPr>
        <w:t xml:space="preserve">7.2 תפקידה של המכונה: מענה בלי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שלפיהם רמת ההאנשה של ממשק מגדילה את תחושת האמפתיה והאמון של המשתמש, מסבירים את ההיגיון הכלכלי של רכיב כזה. הוא אינו נועד להבין, אלא להיראות כמי שמבין. הפרט השני הוא סירובו של זיגמונד להבחין בין שקר למתיחה. ההבחנה הזאת אינה עובדתית אלא כוונתית, ולכן היא מחוץ לתחומו.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pPr>
      <w:r>
        <w:rPr>
          <w:rFonts w:ascii="David" w:cs="David" w:eastAsia="David" w:hAnsi="David"/>
          <w:b/>
          <w:bCs/>
          <w:i w:val="false"/>
          <w:iCs w:val="false"/>
          <w:sz w:val="30"/>
          <w:szCs w:val="30"/>
          <w:rtl/>
        </w:rPr>
        <w:t xml:space="preserve">7.3 השתיקה כפסק דין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חומרת השתיקה נובעת מזהות השאלה. שאלתה של ברכה, מי מהם צדק והאם עדיף למות או לחיות, היא ניסוח מדויק של העיסוק החוזר באחריות ובצדק שמתואר כמאפיין של שכול לאחר התאבדות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מבחינה ז'אנרית, הסיום ממקם את הסיפור במרחב שקרתי שם־טוב וגומל (2017) מתארות בספרות העברית העכשווית: עתיד שאינו נושא הבטחה ואינו נושא אסון מוצהר, אלא שחיקה שממשיכה. סירובו של קרת לחתום את הסיפור בנקודה של סגירה, כפי שמראה קרתי שם־טוב (Karti Shemtov, 2018), הופך כאן לעמדה מוסרית. הקורא אינו מקבל את המנוחה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7.4 הצורה כטענה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8. סיכום ומסקנות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קראה קריאה צמודה את הסיפור "דוב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בסיפור נבנית מבנית ולא מוצהרת. היא מיוצרת מתוך סביבה שבה המוסד מתפקד, השירותים ניתנים ובן השיח חסר, בהתאם להבחנה בין בידוד חברתי אובייקטיבי לבין בדידות סובייקטיבית (שיוביץ־עזרא, 2011).</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הסירוב לסגירה, שמאפיין את כתיבתו של קרת (Karti Shemtov, 2018), מקבל כאן משמעות מוסרית. הסיפור נחתם בהווה מתמשך ולא בנקודה, וכך נמנע מלהעניק לקורא נחמה שהדמות אינה מקבלת.</w:t>
      </w:r>
    </w:p>
    <w:p>
      <w:pPr>
        <w:pStyle w:val="Heading2"/>
        <w:bidi/>
        <w:spacing w:after="140" w:before="280" w:line="360" w:lineRule="auto"/>
        <w:jc w:val="right"/>
      </w:pPr>
      <w:r>
        <w:rPr>
          <w:rFonts w:ascii="David" w:cs="David" w:eastAsia="David" w:hAnsi="David"/>
          <w:b/>
          <w:bCs/>
          <w:i w:val="false"/>
          <w:iCs w:val="false"/>
          <w:sz w:val="30"/>
          <w:szCs w:val="30"/>
          <w:rtl/>
        </w:rPr>
        <w:t xml:space="preserve">8.1 המלצות יישומיות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pPr>
      <w:r>
        <w:rPr>
          <w:rFonts w:ascii="David" w:cs="David" w:eastAsia="David" w:hAnsi="David"/>
          <w:b/>
          <w:bCs/>
          <w:i w:val="false"/>
          <w:iCs w:val="false"/>
          <w:sz w:val="30"/>
          <w:szCs w:val="30"/>
          <w:rtl/>
        </w:rPr>
        <w:t xml:space="preserve">8.2 מגבלות והצעות למחקר המשך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sz w:val="28"/>
          <w:szCs w:val="28"/>
          <w:rtl/>
        </w:rPr>
        <w:t xml:space="preserve">אות: כתב עת לספרות ולתיאוריה</w:t>
      </w:r>
      <w:r>
        <w:rPr>
          <w:rFonts w:ascii="David" w:cs="David" w:eastAsia="David" w:hAnsi="David"/>
          <w:b w:val="false"/>
          <w:bCs w:val="false"/>
          <w:i w:val="false"/>
          <w:iCs w:val="false"/>
          <w:sz w:val="28"/>
          <w:szCs w:val="28"/>
          <w:rt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שיוביץ־עזרא, ש' (2011). בדידות לעת זקנה: בחינת התופעה בישראל ובארצות הברית. </w:t>
      </w:r>
      <w:r>
        <w:rPr>
          <w:rFonts w:ascii="David" w:cs="David" w:eastAsia="David" w:hAnsi="David"/>
          <w:b w:val="false"/>
          <w:bCs w:val="false"/>
          <w:i/>
          <w:iCs/>
          <w:sz w:val="28"/>
          <w:szCs w:val="28"/>
          <w:rtl/>
        </w:rPr>
        <w:t xml:space="preserve">חברה ורווחה</w:t>
      </w:r>
      <w:r>
        <w:rPr>
          <w:rFonts w:ascii="David" w:cs="David" w:eastAsia="David" w:hAnsi="David"/>
          <w:b w:val="false"/>
          <w:bCs w:val="false"/>
          <w:i w:val="false"/>
          <w:iCs w:val="false"/>
          <w:sz w:val="28"/>
          <w:szCs w:val="28"/>
          <w:rtl/>
        </w:rPr>
        <w:t xml:space="preserve">, לא(1), 91-111.</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Karti Shemtov, V. (2018). A sense of no ending, part 2: Etgar Keret and the changing concept of time in contemporary Hebrew literature. </w:t>
      </w:r>
      <w:r>
        <w:rPr>
          <w:rFonts w:ascii="David" w:cs="David" w:eastAsia="David" w:hAnsi="David"/>
          <w:b w:val="false"/>
          <w:bCs w:val="false"/>
          <w:i/>
          <w:iCs/>
          <w:sz w:val="28"/>
          <w:szCs w:val="28"/>
          <w:rtl w:val="false"/>
        </w:rPr>
        <w:t xml:space="preserve">Dibur Literary Journal</w:t>
      </w:r>
      <w:r>
        <w:rPr>
          <w:rFonts w:ascii="David" w:cs="David" w:eastAsia="David" w:hAnsi="David"/>
          <w:b w:val="false"/>
          <w:bCs w:val="false"/>
          <w:i w:val="false"/>
          <w:iCs w:val="false"/>
          <w:sz w:val="28"/>
          <w:szCs w:val="28"/>
          <w:rtl w:val="false"/>
        </w:rPr>
        <w:t xml:space="preserve">, 6,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sz w:val="28"/>
          <w:szCs w:val="28"/>
          <w:rtl w:val="false"/>
        </w:rPr>
        <w:t xml:space="preserve">Frontiers in Computer Science, 7</w:t>
      </w:r>
      <w:r>
        <w:rPr>
          <w:rFonts w:ascii="David" w:cs="David" w:eastAsia="David" w:hAnsi="David"/>
          <w:b w:val="false"/>
          <w:bCs w:val="false"/>
          <w:i w:val="false"/>
          <w:iCs w:val="false"/>
          <w:sz w:val="28"/>
          <w:szCs w:val="28"/>
          <w:rtl w:val="false"/>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sz w:val="28"/>
          <w:szCs w:val="28"/>
          <w:rtl w:val="false"/>
        </w:rPr>
        <w:t xml:space="preserve">Journal of Medical Internet Research, 26</w:t>
      </w:r>
      <w:r>
        <w:rPr>
          <w:rFonts w:ascii="David" w:cs="David" w:eastAsia="David" w:hAnsi="David"/>
          <w:b w:val="false"/>
          <w:bCs w:val="false"/>
          <w:i w:val="false"/>
          <w:iCs w:val="false"/>
          <w:sz w:val="28"/>
          <w:szCs w:val="28"/>
          <w:rtl w:val="false"/>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(1966). ELIZA: A computer program for the study of natural language communication between man and machine. </w:t>
      </w:r>
      <w:r>
        <w:rPr>
          <w:rFonts w:ascii="David" w:cs="David" w:eastAsia="David" w:hAnsi="David"/>
          <w:b w:val="false"/>
          <w:bCs w:val="false"/>
          <w:i/>
          <w:iCs/>
          <w:sz w:val="28"/>
          <w:szCs w:val="28"/>
          <w:rtl w:val="false"/>
        </w:rPr>
        <w:t xml:space="preserve">Communications of the ACM, 9</w:t>
      </w:r>
      <w:r>
        <w:rPr>
          <w:rFonts w:ascii="David" w:cs="David" w:eastAsia="David" w:hAnsi="David"/>
          <w:b w:val="false"/>
          <w:bCs w:val="false"/>
          <w:i w:val="false"/>
          <w:iCs w:val="false"/>
          <w:sz w:val="28"/>
          <w:szCs w:val="28"/>
          <w:rtl w:val="false"/>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Young, I. T., Iglewicz, A., Glorioso, D., Lanouette, N., Seay, K., Ilapakurti, M., &amp; Zisook, S. (2012). Suicide bereavement and complicated grief. </w:t>
      </w:r>
      <w:r>
        <w:rPr>
          <w:rFonts w:ascii="David" w:cs="David" w:eastAsia="David" w:hAnsi="David"/>
          <w:b w:val="false"/>
          <w:bCs w:val="false"/>
          <w:i/>
          <w:iCs/>
          <w:sz w:val="28"/>
          <w:szCs w:val="28"/>
          <w:rtl w:val="false"/>
        </w:rPr>
        <w:t xml:space="preserve">Dialogues in Clinical Neuroscience, 14</w:t>
      </w:r>
      <w:r>
        <w:rPr>
          <w:rFonts w:ascii="David" w:cs="David" w:eastAsia="David" w:hAnsi="David"/>
          <w:b w:val="false"/>
          <w:bCs w:val="false"/>
          <w:i w:val="false"/>
          <w:iCs w:val="false"/>
          <w:sz w:val="28"/>
          <w:szCs w:val="28"/>
          <w:rtl w:val="false"/>
        </w:rPr>
        <w:t xml:space="preserve">(2), 177-186. https://doi.org/10.31887/DCNS.2012.14.2/iyoung</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10.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אישי מטבעו ונכתב בגוף ראשון, בשונה משאר העבודה. להלן שלד מפורט לפי שלבי העבודה בפועל. יש להשלים את הפרטים המסומנים ולהתאים את הניסוח לחוויה האישית.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ההערות שקיבלתי ___________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11. נספחים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נספח א': הסיפור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4eb372187b5c7f6eaf3d0ce85e0cae815ff4020.png"/><Relationship Id="rId9" Type="http://schemas.openxmlformats.org/officeDocument/2006/relationships/image" Target="media/58aba37d114d525cf6b6e9ec60e99ebb77c38c25.png"/><Relationship Id="rId10" Type="http://schemas.openxmlformats.org/officeDocument/2006/relationships/image" Target="media/1643843bec33662adb093aad819c5135263d6c8b.png"/><Relationship Id="rId11" Type="http://schemas.openxmlformats.org/officeDocument/2006/relationships/image" Target="media/97fd07d8257f9108b7a8017aba4051dbb5e63b8f.png"/><Relationship Id="rId12" Type="http://schemas.openxmlformats.org/officeDocument/2006/relationships/image" Target="media/e6203e49cb148dfe0b6582bd695ecdd6202ac4d0.png"/><Relationship Id="rId13" Type="http://schemas.openxmlformats.org/officeDocument/2006/relationships/image" Target="media/e4c9794aabce0831caf8adaa24ba05fe896319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2026-09-01T13:16:31.470Z</dcterms:created>
  <dcterms:modified xsi:type="dcterms:W3CDTF">2026-09-01T13:16:31.471Z</dcterms:modified>
</cp:coreProperties>
</file>

<file path=docProps/custom.xml><?xml version="1.0" encoding="utf-8"?>
<Properties xmlns="http://schemas.openxmlformats.org/officeDocument/2006/custom-properties" xmlns:vt="http://schemas.openxmlformats.org/officeDocument/2006/docPropsVTypes"/>
</file>