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w:t>
      </w:r>
      <w:r>
        <w:rPr>
          <w:rFonts w:ascii="David" w:cs="David" w:eastAsia="David" w:hAnsi="David"/>
          <w:sz w:val="26"/>
          <w:szCs w:val="26"/>
          <w:shd w:fill="FFF200" w:color="auto" w:val="clear"/>
          <w:rtl/>
        </w:rPr>
        <w:t xml:space="preserve">[תאריך]</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הרחבת סמכויות והחמרת ענישה, בלי טיפול בגורמי העומק ובלי שיתוף הציבור הערבי, עלולות להוביל לתוצאות בלתי צודקות מבלי להפחית את הפשיעה.</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תרומת העבודה היא בחיבור בין שני דיונים שמתנהלים בדרך כלל בנפרד. הספרות הקרימינולוגית שואלת אם אסטרטגיית שיטור מפחיתה פשיעה, והספרות המשפטית שואלת אם הפעלת הסמכות חוקית ושוויונית. העבודה טוענת שבהקשר של צעירים ערבים אי אפשר להפריד בין השאלות, משום שאמון, דיווח ושיתוף פעולה הם תנאי להצלחת המודל, והם תלויים באופן שבו הסמכות מופעלת.</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 פרק 2 מגדיר ממדים של אפקטיביות ואת המסגרת המשפטית; פרק 3 מתאר את אמו"ן; פרק 4 מציג את מקרה המבחן; פרק 5 את ממצאי ההערכה; פרק 6 את המשפט המשווה; פרק 7 דן בשאלת המודל מול היישום; ופרק 8 מסכם.</w:t>
      </w:r>
    </w:p>
    <w:p>
      <w:pPr>
        <w:pStyle w:val="Heading1"/>
        <w:pageBreakBefore/>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3"/>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4"/>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5"/>
      </w:r>
      <w:r>
        <w:rPr>
          <w:rFonts w:ascii="David" w:cs="David" w:eastAsia="David" w:hAnsi="David"/>
          <w:sz w:val="24"/>
          <w:szCs w:val="24"/>
          <w:rt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sz w:val="24"/>
          <w:szCs w:val="24"/>
          <w:rt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6"/>
      </w:r>
      <w:r>
        <w:rPr>
          <w:rFonts w:ascii="David" w:cs="David" w:eastAsia="David" w:hAnsi="David"/>
          <w:sz w:val="24"/>
          <w:szCs w:val="24"/>
          <w:rt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7"/>
      </w:r>
      <w:r>
        <w:rPr>
          <w:rFonts w:ascii="David" w:cs="David" w:eastAsia="David" w:hAnsi="David"/>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w:t>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18"/>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19"/>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 במחקרים הקפדניים היה האפקט קטן יותר, והסקירה מציינת שלעיתים קרובות מיושמות גרסאות מדוללות של המודל.</w:t>
      </w:r>
      <w:r>
        <w:rPr>
          <w:rStyle w:val="FootnoteReference"/>
        </w:rPr>
        <w:footnoteReference w:id="20"/>
      </w:r>
    </w:p>
    <w:p>
      <w:pPr>
        <w:bidi/>
        <w:spacing w:after="120" w:line="360"/>
        <w:ind w:firstLine="0"/>
        <w:jc w:val="both"/>
      </w:pPr>
      <w:r>
        <w:rPr>
          <w:rFonts w:ascii="David" w:cs="David" w:eastAsia="David" w:hAnsi="David"/>
          <w:sz w:val="24"/>
          <w:szCs w:val="24"/>
          <w:rtl/>
        </w:rPr>
        <w:t xml:space="preserve">לגישה יש גם יתרון מבחינת הציבור: ועדת האקדמיות הלאומיות מצאה שהתערבויות של פתרון בעיות הביאו לשיפור קטן עד בינוני בשביעות הרצון מן המשטרה בטווח הקצר.</w:t>
      </w:r>
      <w:r>
        <w:rPr>
          <w:rStyle w:val="FootnoteReference"/>
        </w:rPr>
        <w:footnoteReference w:id="21"/>
      </w:r>
      <w:r>
        <w:rPr>
          <w:rFonts w:ascii="David" w:cs="David" w:eastAsia="David" w:hAnsi="David"/>
          <w:sz w:val="24"/>
          <w:szCs w:val="24"/>
          <w:rtl/>
        </w:rPr>
        <w:t xml:space="preserve"> לכן הסיכון לאמון אינו מובנה בגישה עצמה, אלא תלוי ברכיבים שהתוכנית כוללת בפועל.</w:t>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2"/>
      </w:r>
      <w:r>
        <w:rPr>
          <w:rFonts w:ascii="David" w:cs="David" w:eastAsia="David" w:hAnsi="David"/>
          <w:sz w:val="24"/>
          <w:szCs w:val="24"/>
          <w:rtl/>
        </w:rPr>
        <w:t xml:space="preserve"> שיטור נקודות חמות נמצא מפחית פשיעה באזורי היעד,</w:t>
      </w:r>
      <w:r>
        <w:rPr>
          <w:rStyle w:val="FootnoteReference"/>
        </w:rPr>
        <w:footnoteReference w:id="23"/>
      </w:r>
      <w:r>
        <w:rPr>
          <w:rFonts w:ascii="David" w:cs="David" w:eastAsia="David" w:hAnsi="David"/>
          <w:sz w:val="24"/>
          <w:szCs w:val="24"/>
          <w:rtl/>
        </w:rPr>
        <w:t xml:space="preserve"> ובסקירה מאוחרת נאמדה ירידה של כ-17%.</w:t>
      </w:r>
      <w:r>
        <w:rPr>
          <w:rStyle w:val="FootnoteReference"/>
        </w:rPr>
        <w:footnoteReference w:id="24"/>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5"/>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6"/>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7"/>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28"/>
      </w:r>
      <w:r>
        <w:rPr>
          <w:rFonts w:ascii="David" w:cs="David" w:eastAsia="David" w:hAnsi="David"/>
          <w:sz w:val="24"/>
          <w:szCs w:val="24"/>
          <w:rtl/>
        </w:rPr>
        <w:t xml:space="preserve"> ולכן הסיכון נקבע לפי הפעולות שבתוכנית, ולא לפי שמה.</w:t>
      </w:r>
    </w:p>
    <w:p>
      <w:pPr>
        <w:bidi/>
        <w:spacing w:after="120" w:line="360"/>
        <w:ind w:firstLine="0"/>
        <w:jc w:val="both"/>
      </w:pPr>
      <w:r>
        <w:rPr>
          <w:rFonts w:ascii="David" w:cs="David" w:eastAsia="David" w:hAnsi="David"/>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29"/>
      </w:r>
      <w:r>
        <w:rPr>
          <w:rFonts w:ascii="David" w:cs="David" w:eastAsia="David" w:hAnsi="David"/>
          <w:sz w:val="24"/>
          <w:szCs w:val="24"/>
          <w:rt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0"/>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1"/>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32"/>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3"/>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4"/>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5"/>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36"/>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37"/>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38"/>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39"/>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0"/>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41"/>
      </w:r>
      <w:r>
        <w:rPr>
          <w:rFonts w:ascii="David" w:cs="David" w:eastAsia="David" w:hAnsi="David"/>
          <w:sz w:val="24"/>
          <w:szCs w:val="24"/>
          <w:rtl/>
        </w:rPr>
        <w:t xml:space="preserve"> אך תיאור תפקידים אינו מקור סמכות לפגיעה בזכויות.</w:t>
      </w:r>
      <w:r>
        <w:rPr>
          <w:rStyle w:val="FootnoteReference"/>
        </w:rPr>
        <w:footnoteReference w:id="42"/>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43"/>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44"/>
      </w:r>
      <w:r>
        <w:rPr>
          <w:rFonts w:ascii="David" w:cs="David" w:eastAsia="David" w:hAnsi="David"/>
          <w:sz w:val="24"/>
          <w:szCs w:val="24"/>
          <w:rtl/>
        </w:rPr>
        <w:t xml:space="preserve"> שמשקף איזון בין ביטחון הציבור לבין זכויות הפרט.</w:t>
      </w:r>
      <w:r>
        <w:rPr>
          <w:rStyle w:val="FootnoteReference"/>
        </w:rPr>
        <w:footnoteReference w:id="45"/>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46"/>
      </w:r>
      <w:r>
        <w:rPr>
          <w:rFonts w:ascii="David" w:cs="David" w:eastAsia="David" w:hAnsi="David"/>
          <w:sz w:val="24"/>
          <w:szCs w:val="24"/>
          <w:rtl/>
        </w:rPr>
        <w:t xml:space="preserve"> תיאור חיצוני כללי אינו מקים סמכות עיכוב,</w:t>
      </w:r>
      <w:r>
        <w:rPr>
          <w:rStyle w:val="FootnoteReference"/>
        </w:rPr>
        <w:footnoteReference w:id="47"/>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48"/>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49"/>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50"/>
      </w:r>
      <w:r>
        <w:rPr>
          <w:rFonts w:ascii="David" w:cs="David" w:eastAsia="David" w:hAnsi="David"/>
          <w:sz w:val="24"/>
          <w:szCs w:val="24"/>
          <w:rt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pageBreakBefore/>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51"/>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52"/>
      </w:r>
      <w:r>
        <w:rPr>
          <w:rFonts w:ascii="David" w:cs="David" w:eastAsia="David" w:hAnsi="David"/>
          <w:sz w:val="24"/>
          <w:szCs w:val="24"/>
          <w:rt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53"/>
      </w:r>
      <w:r>
        <w:rPr>
          <w:rFonts w:ascii="David" w:cs="David" w:eastAsia="David" w:hAnsi="David"/>
          <w:sz w:val="24"/>
          <w:szCs w:val="24"/>
          <w:rtl/>
        </w:rPr>
        <w:t xml:space="preserve"> ייחודה בניסיון למסד אותן בכל הארגון,</w:t>
      </w:r>
      <w:r>
        <w:rPr>
          <w:rStyle w:val="FootnoteReference"/>
        </w:rPr>
        <w:footnoteReference w:id="54"/>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55"/>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56"/>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57"/>
      </w:r>
      <w:r>
        <w:rPr>
          <w:rFonts w:ascii="David" w:cs="David" w:eastAsia="David" w:hAnsi="David"/>
          <w:sz w:val="24"/>
          <w:szCs w:val="24"/>
          <w:rt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58"/>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59"/>
      </w:r>
      <w:r>
        <w:rPr>
          <w:rFonts w:ascii="David" w:cs="David" w:eastAsia="David" w:hAnsi="David"/>
          <w:sz w:val="24"/>
          <w:szCs w:val="24"/>
          <w:rt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60"/>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61"/>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62"/>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63"/>
      </w:r>
      <w:r>
        <w:rPr>
          <w:rFonts w:ascii="David" w:cs="David" w:eastAsia="David" w:hAnsi="David"/>
          <w:sz w:val="24"/>
          <w:szCs w:val="24"/>
          <w:rt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64"/>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65"/>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66"/>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w:t>
      </w:r>
    </w:p>
    <w:p>
      <w:pPr>
        <w:pStyle w:val="Heading1"/>
        <w:pageBreakBefore/>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67"/>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68"/>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69"/>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70"/>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71"/>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72"/>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73"/>
      </w:r>
      <w:r>
        <w:rPr>
          <w:rFonts w:ascii="David" w:cs="David" w:eastAsia="David" w:hAnsi="David"/>
          <w:sz w:val="24"/>
          <w:szCs w:val="24"/>
          <w:rtl/>
        </w:rPr>
        <w:t xml:space="preserve"> וזמינותו היא גורם מרכזי בתופעה.</w:t>
      </w:r>
      <w:r>
        <w:rPr>
          <w:rStyle w:val="FootnoteReference"/>
        </w:rPr>
        <w:footnoteReference w:id="74"/>
      </w:r>
      <w:r>
        <w:rPr>
          <w:rFonts w:ascii="David" w:cs="David" w:eastAsia="David" w:hAnsi="David"/>
          <w:sz w:val="24"/>
          <w:szCs w:val="24"/>
          <w:rtl/>
        </w:rPr>
        <w:t xml:space="preserve"> מודל שבו כל תחנה בוחרת בעיות בגזרתה מתקשה לטפל בגורם שפועל בקנה מידה ארצי.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75"/>
      </w:r>
      <w:r>
        <w:rPr>
          <w:rFonts w:ascii="David" w:cs="David" w:eastAsia="David" w:hAnsi="David"/>
          <w:sz w:val="24"/>
          <w:szCs w:val="24"/>
          <w:rt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 ספיר מדגיש בהקשר זה שהרחבת סמכויות והחמרת ענישה, בלי טיפול בגורמי העומק ובלי שיתוף הציבור הערבי, אינן צפויות להפחית את הפשיעה.</w:t>
      </w:r>
      <w:r>
        <w:rPr>
          <w:rStyle w:val="FootnoteReference"/>
        </w:rPr>
        <w:footnoteReference w:id="76"/>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77"/>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78"/>
      </w:r>
      <w:r>
        <w:rPr>
          <w:rFonts w:ascii="David" w:cs="David" w:eastAsia="David" w:hAnsi="David"/>
          <w:sz w:val="24"/>
          <w:szCs w:val="24"/>
          <w:rt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79"/>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80"/>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81"/>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82"/>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83"/>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84"/>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85"/>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86"/>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87"/>
      </w:r>
      <w:r>
        <w:rPr>
          <w:rFonts w:ascii="David" w:cs="David" w:eastAsia="David" w:hAnsi="David"/>
          <w:sz w:val="24"/>
          <w:szCs w:val="24"/>
          <w:rtl/>
        </w:rPr>
        <w:t xml:space="preserve"> ושפיקוח משטרתי כבד אינו מעיד בהכרח על משילות.</w:t>
      </w:r>
      <w:r>
        <w:rPr>
          <w:rStyle w:val="FootnoteReference"/>
        </w:rPr>
        <w:footnoteReference w:id="88"/>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89"/>
      </w:r>
      <w:r>
        <w:rPr>
          <w:rFonts w:ascii="David" w:cs="David" w:eastAsia="David" w:hAnsi="David"/>
          <w:sz w:val="24"/>
          <w:szCs w:val="24"/>
          <w:rt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90"/>
      </w:r>
      <w:r>
        <w:rPr>
          <w:rFonts w:ascii="David" w:cs="David" w:eastAsia="David" w:hAnsi="David"/>
          <w:sz w:val="24"/>
          <w:szCs w:val="24"/>
          <w:rtl/>
        </w:rPr>
        <w:t xml:space="preserve"> הממצא קדם לרפורמה, ולכן אין לייחס לה את הפער, אך הוא מלמד שעמדות הציבור צריכות להיבחן בהקשר החברתי הרחב. סקוגן הראה שההשפעה של מפגש שלילי חזקה מזו של מפגש חיובי,</w:t>
      </w:r>
      <w:r>
        <w:rPr>
          <w:rStyle w:val="FootnoteReference"/>
        </w:rPr>
        <w:footnoteReference w:id="91"/>
      </w:r>
      <w:r>
        <w:rPr>
          <w:rFonts w:ascii="David" w:cs="David" w:eastAsia="David" w:hAnsi="David"/>
          <w:sz w:val="24"/>
          <w:szCs w:val="24"/>
          <w:rtl/>
        </w:rPr>
        <w:t xml:space="preserve"> ולכן קבוצה שחווה מפגשים יזומים רבים ומעט הכרעות משפטיות בעבירות שפוגעות בה עלולה לאבד אמון גם אם הפשיעה בגזרתה יורדת.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92"/>
      </w:r>
      <w:r>
        <w:rPr>
          <w:rFonts w:ascii="David" w:cs="David" w:eastAsia="David" w:hAnsi="David"/>
          <w:sz w:val="24"/>
          <w:szCs w:val="24"/>
          <w:rtl/>
        </w:rPr>
        <w:t xml:space="preserve"> ולכן אמון נמוך משנה את תנאי הפעולה של המודל בקבוצה הזו.</w:t>
      </w:r>
    </w:p>
    <w:p>
      <w:pPr>
        <w:pStyle w:val="Heading1"/>
        <w:pageBreakBefore/>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93"/>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94"/>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95"/>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96"/>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97"/>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98"/>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99"/>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00"/>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101"/>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102"/>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03"/>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104"/>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sz w:val="24"/>
          <w:szCs w:val="24"/>
          <w:rt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 בסל הרכוש נמדד אפקט בהשוואה לתחנות ביקורת, ובסל הירי נבחן תהליך בניתוח איכותני.</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05"/>
      </w:r>
      <w:r>
        <w:rPr>
          <w:rFonts w:ascii="David" w:cs="David" w:eastAsia="David" w:hAnsi="David"/>
          <w:sz w:val="24"/>
          <w:szCs w:val="24"/>
          <w:rt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06"/>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07"/>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08"/>
      </w:r>
      <w:r>
        <w:rPr>
          <w:rFonts w:ascii="David" w:cs="David" w:eastAsia="David" w:hAnsi="David"/>
          <w:sz w:val="24"/>
          <w:szCs w:val="24"/>
          <w:rtl/>
        </w:rPr>
        <w:t xml:space="preserve"> כששני מנגנוני בדיקה עצמאיים, מחקר הערכה אקדמי וביקורת מדינה, מצביעים על אותו כשל, קשה לייחס אותו לשונות מקומית או לאיכות הפיקוד בתחנה מסוימת.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09"/>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10"/>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11"/>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12"/>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13"/>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14"/>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pageBreakBefore/>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15"/>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16"/>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17"/>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18"/>
      </w:r>
      <w:r>
        <w:rPr>
          <w:rFonts w:ascii="David" w:cs="David" w:eastAsia="David" w:hAnsi="David"/>
          <w:sz w:val="24"/>
          <w:szCs w:val="24"/>
          <w:rtl/>
        </w:rPr>
        <w:t xml:space="preserve"> ההבחנה חשובה לשיטור יזום: הצדקה לבירור קצר אינה מעניקה אוטומטית הצדקה לחיפוש, וכל שלב בהסלמת המפגש טעון הצדקה משלו.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19"/>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20"/>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21"/>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22"/>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23"/>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24"/>
      </w:r>
      <w:r>
        <w:rPr>
          <w:rFonts w:ascii="David" w:cs="David" w:eastAsia="David" w:hAnsi="David"/>
          <w:sz w:val="24"/>
          <w:szCs w:val="24"/>
          <w:rtl/>
        </w:rPr>
        <w:t xml:space="preserve"> ומינוי מפקח עצמאי בהליך שיפוטי.</w:t>
      </w:r>
      <w:r>
        <w:rPr>
          <w:rStyle w:val="FootnoteReference"/>
        </w:rPr>
        <w:footnoteReference w:id="125"/>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26"/>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27"/>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28"/>
      </w:r>
      <w:r>
        <w:rPr>
          <w:rFonts w:ascii="David" w:cs="David" w:eastAsia="David" w:hAnsi="David"/>
          <w:sz w:val="24"/>
          <w:szCs w:val="24"/>
          <w:rtl/>
        </w:rPr>
        <w:t xml:space="preserve"> זהו חוסר האיזון שנטפוף הצביעה עליו. ערוץ "הדפוס או הנוהג" קרוב במיוחד לשאלה שבה עוסקת העבודה, משום שהוא אינו בוחן מפגש בודד אלא שיטה. חקירת פרגוסון הראתה איך יעד ארגוני שאינו קשור לביטחון הציבור מעצב את האכיפה בשטח.</w:t>
      </w:r>
      <w:r>
        <w:rPr>
          <w:rStyle w:val="FootnoteReference"/>
        </w:rPr>
        <w:footnoteReference w:id="129"/>
      </w:r>
      <w:r>
        <w:rPr>
          <w:rFonts w:ascii="David" w:cs="David" w:eastAsia="David" w:hAnsi="David"/>
          <w:sz w:val="24"/>
          <w:szCs w:val="24"/>
          <w:rtl/>
        </w:rPr>
        <w:t xml:space="preserve"> ההקבלה לאמו"ן חלקית, שכן אמו"ן אינה מונעת משיקולי הכנסה, אבל המנגנון דומה: יעד שנקבע ברמת הארגון מגיע לשוטר כהוראת עבודה. במקביל המליץ הצוות הנשיאותי לשיטור לאמץ את הוגנות ההליכים כעיקרון מנחה,</w:t>
      </w:r>
      <w:r>
        <w:rPr>
          <w:rStyle w:val="FootnoteReference"/>
        </w:rPr>
        <w:footnoteReference w:id="130"/>
      </w:r>
      <w:r>
        <w:rPr>
          <w:rFonts w:ascii="David" w:cs="David" w:eastAsia="David" w:hAnsi="David"/>
          <w:sz w:val="24"/>
          <w:szCs w:val="24"/>
          <w:rtl/>
        </w:rPr>
        <w:t xml:space="preserve"> ומדריך ההרתעה הממוקדת מדגיש שיש להעריך גם את הוגנות התוכנית, ושהרכיב הקהילתי הוא יסוד שלה.</w:t>
      </w:r>
      <w:r>
        <w:rPr>
          <w:rStyle w:val="FootnoteReference"/>
        </w:rPr>
        <w:footnoteReference w:id="131"/>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32"/>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33"/>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34"/>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35"/>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36"/>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37"/>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38"/>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39"/>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40"/>
      </w:r>
      <w:r>
        <w:rPr>
          <w:rFonts w:ascii="David" w:cs="David" w:eastAsia="David" w:hAnsi="David"/>
          <w:sz w:val="24"/>
          <w:szCs w:val="24"/>
          <w:rt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41"/>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42"/>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43"/>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44"/>
      </w:r>
      <w:r>
        <w:rPr>
          <w:rFonts w:ascii="David" w:cs="David" w:eastAsia="David" w:hAnsi="David"/>
          <w:sz w:val="24"/>
          <w:szCs w:val="24"/>
          <w:rtl/>
        </w:rPr>
        <w:t xml:space="preserve"> בצד ההגנה החסרה,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45"/>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46"/>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47"/>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48"/>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49"/>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50"/>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51"/>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52"/>
      </w:r>
      <w:r>
        <w:rPr>
          <w:rFonts w:ascii="David" w:cs="David" w:eastAsia="David" w:hAnsi="David"/>
          <w:sz w:val="24"/>
          <w:szCs w:val="24"/>
          <w:rtl/>
        </w:rPr>
        <w:t xml:space="preserve"> וגם עשרות שנים אחריו לא הוסברו עד הסוף הפערים בהפעלת הסמכויות.</w:t>
      </w:r>
      <w:r>
        <w:rPr>
          <w:rStyle w:val="FootnoteReference"/>
        </w:rPr>
        <w:footnoteReference w:id="153"/>
      </w:r>
      <w:r>
        <w:rPr>
          <w:rFonts w:ascii="David" w:cs="David" w:eastAsia="David" w:hAnsi="David"/>
          <w:sz w:val="24"/>
          <w:szCs w:val="24"/>
          <w:rtl/>
        </w:rPr>
        <w:t xml:space="preserve"> מכאן שלא די בהקמת מנגנון, ונדרש מעקב מתמשך. באמו"ן אפשר לבנות את מנגנוני התיעוד והפיקוח כחלק מן הפעילות השוטפת, בלי להמתין לכשל שיחייב בדיקה בדיעבד.</w:t>
      </w:r>
    </w:p>
    <w:p>
      <w:pPr>
        <w:pStyle w:val="Heading1"/>
        <w:pageBreakBefore/>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54"/>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55"/>
      </w:r>
      <w:r>
        <w:rPr>
          <w:rFonts w:ascii="David" w:cs="David" w:eastAsia="David" w:hAnsi="David"/>
          <w:sz w:val="24"/>
          <w:szCs w:val="24"/>
          <w:rtl/>
        </w:rPr>
        <w:t xml:space="preserve"> בישראל הושגו תוצאות חיוביות בסל הרכוש,</w:t>
      </w:r>
      <w:r>
        <w:rPr>
          <w:rStyle w:val="FootnoteReference"/>
        </w:rPr>
        <w:footnoteReference w:id="156"/>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157"/>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158"/>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159"/>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sz w:val="24"/>
          <w:szCs w:val="24"/>
          <w:rt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160"/>
      </w:r>
      <w:r>
        <w:rPr>
          <w:rFonts w:ascii="David" w:cs="David" w:eastAsia="David" w:hAnsi="David"/>
          <w:sz w:val="24"/>
          <w:szCs w:val="24"/>
          <w:rt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161"/>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162"/>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163"/>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164"/>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165"/>
      </w:r>
      <w:r>
        <w:rPr>
          <w:rFonts w:ascii="David" w:cs="David" w:eastAsia="David" w:hAnsi="David"/>
          <w:sz w:val="24"/>
          <w:szCs w:val="24"/>
          <w:rtl/>
        </w:rPr>
        <w:t xml:space="preserve"> אף שהרכיב הקהילתי הוא יסוד של התוכנית.</w:t>
      </w:r>
      <w:r>
        <w:rPr>
          <w:rStyle w:val="FootnoteReference"/>
        </w:rPr>
        <w:footnoteReference w:id="166"/>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167"/>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168"/>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169"/>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170"/>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sz w:val="24"/>
          <w:szCs w:val="24"/>
          <w:rt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171"/>
      </w:r>
      <w:r>
        <w:rPr>
          <w:rFonts w:ascii="David" w:cs="David" w:eastAsia="David" w:hAnsi="David"/>
          <w:sz w:val="24"/>
          <w:szCs w:val="24"/>
          <w:rt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172"/>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173"/>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174"/>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175"/>
      </w:r>
      <w:r>
        <w:rPr>
          <w:rFonts w:ascii="David" w:cs="David" w:eastAsia="David" w:hAnsi="David"/>
          <w:sz w:val="24"/>
          <w:szCs w:val="24"/>
          <w:rtl/>
        </w:rPr>
        <w:t xml:space="preserve"> ואכן הביקורת הפנימית על אמו"ן חזרה על אותה אזהרה.</w:t>
      </w:r>
      <w:r>
        <w:rPr>
          <w:rStyle w:val="FootnoteReference"/>
        </w:rPr>
        <w:footnoteReference w:id="176"/>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177"/>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178"/>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179"/>
      </w:r>
      <w:r>
        <w:rPr>
          <w:rFonts w:ascii="David" w:cs="David" w:eastAsia="David" w:hAnsi="David"/>
          <w:sz w:val="24"/>
          <w:szCs w:val="24"/>
          <w:rtl/>
        </w:rPr>
        <w:t xml:space="preserve"> ומדד כזה יכול להיות חלק מהם.</w:t>
      </w:r>
    </w:p>
    <w:p>
      <w:pPr>
        <w:bidi/>
        <w:spacing w:after="120" w:line="360"/>
        <w:ind w:firstLine="0"/>
        <w:jc w:val="both"/>
      </w:pPr>
      <w:r>
        <w:rPr>
          <w:rFonts w:ascii="David" w:cs="David" w:eastAsia="David" w:hAnsi="David"/>
          <w:sz w:val="24"/>
          <w:szCs w:val="24"/>
          <w:rtl/>
        </w:rPr>
        <w:t xml:space="preserve">המסקנה מתת-פרק זה היא שהבעיה אינה רק במדדים שנבחרו, אלא גם בנתונים שאינם נאספים כלל. נתוני פשיעה, נתוני אכיפה ונתוני עמדות נאספים בידי גופים שונים ובחלוקות שונות, ולכן קשה לחבר ביניהם ולשאול,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180"/>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181"/>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182"/>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ההשוואה מספקת תבנית: איסור מפורש לבסס חשד על מאפיינים אישיים כהוראת עבודה,</w:t>
      </w:r>
      <w:r>
        <w:rPr>
          <w:rStyle w:val="FootnoteReference"/>
        </w:rPr>
        <w:footnoteReference w:id="183"/>
      </w:r>
      <w:r>
        <w:rPr>
          <w:rFonts w:ascii="David" w:cs="David" w:eastAsia="David" w:hAnsi="David"/>
          <w:sz w:val="24"/>
          <w:szCs w:val="24"/>
          <w:rtl/>
        </w:rPr>
        <w:t xml:space="preserve"> תיעוד של סיבת העיכוב, תוצאתו והזהות האתנית,</w:t>
      </w:r>
      <w:r>
        <w:rPr>
          <w:rStyle w:val="FootnoteReference"/>
        </w:rPr>
        <w:footnoteReference w:id="184"/>
      </w:r>
      <w:r>
        <w:rPr>
          <w:rFonts w:ascii="David" w:cs="David" w:eastAsia="David" w:hAnsi="David"/>
          <w:sz w:val="24"/>
          <w:szCs w:val="24"/>
          <w:rtl/>
        </w:rPr>
        <w:t xml:space="preserve"> ובדיקה של הרישומים לאיתור דפוסים.</w:t>
      </w:r>
      <w:r>
        <w:rPr>
          <w:rStyle w:val="FootnoteReference"/>
        </w:rPr>
        <w:footnoteReference w:id="185"/>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186"/>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187"/>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188"/>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 את החשש מהכבדה על השוטרים ראוי לבחון ביישום מדורג. אין בחומר שנבחן אומדן של עלות התיעוד, אך חוות הדעת בעניין </w:t>
      </w:r>
      <w:r>
        <w:rPr>
          <w:rFonts w:ascii="David" w:cs="David" w:eastAsia="David" w:hAnsi="David"/>
          <w:b/>
          <w:bCs/>
          <w:sz w:val="24"/>
          <w:szCs w:val="24"/>
          <w:rtl/>
        </w:rPr>
        <w:t xml:space="preserve">טבקה</w:t>
      </w:r>
      <w:r>
        <w:rPr>
          <w:rFonts w:ascii="David" w:cs="David" w:eastAsia="David" w:hAnsi="David"/>
          <w:sz w:val="24"/>
          <w:szCs w:val="24"/>
          <w:rtl/>
        </w:rPr>
        <w:t xml:space="preserve"> קשרה נהלים ותבחינים ברורים לשיפור ביעילות, ולכן יש בסיס לבחון תיעוד והנחיות ככלים שעשויים להועיל, לצד מדידה של זמני העבודה, של איכות ההחלטות ושל ההשפעה על הציבור. כדברי הרדוף, הבקרה "אינה מעלימה את הכוח, אלא אך מצמצמת את הסיכוי לשימוש לא ראוי ולא מוצלח בו".</w:t>
      </w:r>
      <w:r>
        <w:rPr>
          <w:rStyle w:val="FootnoteReference"/>
        </w:rPr>
        <w:footnoteReference w:id="189"/>
      </w:r>
    </w:p>
    <w:p>
      <w:pPr>
        <w:bidi/>
        <w:spacing w:after="120" w:line="360"/>
        <w:ind w:firstLine="0"/>
        <w:jc w:val="both"/>
      </w:pPr>
      <w:r>
        <w:rPr>
          <w:rFonts w:ascii="David" w:cs="David" w:eastAsia="David" w:hAnsi="David"/>
          <w:sz w:val="24"/>
          <w:szCs w:val="24"/>
          <w:rtl/>
        </w:rPr>
        <w:t xml:space="preserve">לבסוף, הבניית שיקול הדעת קשורה ישירות לשאלת האמון. אם הוגנות ההליכים היא המנבא החזק של הלגיטימיות,</w:t>
      </w:r>
      <w:r>
        <w:rPr>
          <w:rStyle w:val="FootnoteReference"/>
        </w:rPr>
        <w:footnoteReference w:id="190"/>
      </w:r>
      <w:r>
        <w:rPr>
          <w:rFonts w:ascii="David" w:cs="David" w:eastAsia="David" w:hAnsi="David"/>
          <w:sz w:val="24"/>
          <w:szCs w:val="24"/>
          <w:rtl/>
        </w:rPr>
        <w:t xml:space="preserve"> ואם מפגש שלילי אחד משפיע יותר ממפגשים חיוביים רבים,</w:t>
      </w:r>
      <w:r>
        <w:rPr>
          <w:rStyle w:val="FootnoteReference"/>
        </w:rPr>
        <w:footnoteReference w:id="191"/>
      </w:r>
      <w:r>
        <w:rPr>
          <w:rFonts w:ascii="David" w:cs="David" w:eastAsia="David" w:hAnsi="David"/>
          <w:sz w:val="24"/>
          <w:szCs w:val="24"/>
          <w:rtl/>
        </w:rPr>
        <w:t xml:space="preserve"> הרי שהאופן שבו השוטר פונה לצעיר בתוך הפוליגון משפיע על יכולתה של התחנה לקבל מידע, עדויות ושיתוף פעולה. במובן זה, תבחינים ברורים ותיעוד אינם רק דרישה משפטית אלא תנאי לאפקטיביות: הם מצמצמים את המפגשים המיותרים, מאפשרים להסביר לאדם מדוע נעצר, ויוצרים נתונים שמאפשרים לתקן. כפי שנקבע בעניין </w:t>
      </w:r>
      <w:r>
        <w:rPr>
          <w:rFonts w:ascii="David" w:cs="David" w:eastAsia="David" w:hAnsi="David"/>
          <w:b/>
          <w:bCs/>
          <w:sz w:val="24"/>
          <w:szCs w:val="24"/>
          <w:rtl/>
        </w:rPr>
        <w:t xml:space="preserve">סויסא</w:t>
      </w:r>
      <w:r>
        <w:rPr>
          <w:rFonts w:ascii="David" w:cs="David" w:eastAsia="David" w:hAnsi="David"/>
          <w:sz w:val="24"/>
          <w:szCs w:val="24"/>
          <w:rtl/>
        </w:rPr>
        <w:t xml:space="preserve">, בלי יחסי אמון עם הקהילה המשטרה אינה יכולה למלא את משימותיה.</w:t>
      </w:r>
      <w:r>
        <w:rPr>
          <w:rStyle w:val="FootnoteReference"/>
        </w:rPr>
        <w:footnoteReference w:id="192"/>
      </w:r>
    </w:p>
    <w:p>
      <w:pPr>
        <w:pStyle w:val="Heading1"/>
        <w:pageBreakBefore/>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אלה ליקויים שאפשר לתקן בתכנון ובביצוע, ואין בהם כדי לשלול את ההיגיון של המודל, אף שהם מלמדים שהתאמתו לעבירות ירי בחברה הערבית אינה מובנת מאליה.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המשפט המשווה מלמד שלושה דברים. הראשון, שכלל שאוסר לבסס חשד על מאפיינים אישיים צריך לקבל ביטוי בהוראות עבודה ובהכשרה. השני, שתיעוד של עיכובים וחיפושים, כולל סיבתם ותוצאתם, הוא הבסיס לבדיקת פערים. השלישי, שנדרש מנגנון שמחייב את הארגון להסביר פערים או לתקנם. חלק מן ההצעות אפשר לקדם ברמה הארגונית, ושאלת הצורך בחקיקה, בפרט לנוכח דיני הפרטיות, דורשת בדיקה נפרדת.</w:t>
      </w:r>
    </w:p>
    <w:p>
      <w:pPr>
        <w:bidi/>
        <w:spacing w:after="120" w:line="360"/>
        <w:ind w:firstLine="0"/>
        <w:jc w:val="both"/>
      </w:pPr>
      <w:r>
        <w:rPr>
          <w:rFonts w:ascii="David" w:cs="David" w:eastAsia="David" w:hAnsi="David"/>
          <w:sz w:val="24"/>
          <w:szCs w:val="24"/>
          <w:rtl/>
        </w:rPr>
        <w:t xml:space="preserve">לצד המסקנות לגבי אמו"ן, העבודה מצביעה על מגבלות המחקר הקיים. מחקרי ההערכה עסקו בתחנות ובסלי עבירות, ולא בקבוצות גיל או באוכלוסיות, ולכן אין בידינו אומדן של השפעת הרפורמה על צעירים ערבים בני 18 עד 24. נתוני האכיפה והאמון נאספים בנפרד ובחלוקות שונות, ואינם מאפשרים לקשור בין פעילות משטרתית באזור מסוים לבין השינוי בעמדות ובדיווח באותו אזור. מחקר המשך צריך לכלול נתונים מפולחים לפי גיל ולפי קבוצת אוכלוסייה, לפני הרפורמה ואחריה, ולבחון יחד את מספר האירועים, את שיעור כתבי האישום, את היקף המפגשים היזומים ואת האמון. רק מחקר כזה יאפשר לענות על שאלת המחקר ביחס לקבוצה עצמה, ולא רק ביחס לתחנות שמשרתות אותה.</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4">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5">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6">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76 (2015).‎</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19">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20">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2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209.</w:t>
      </w:r>
    </w:p>
  </w:footnote>
  <w:footnote w:id="22">
    <w:p>
      <w:pPr>
        <w:bidi/>
        <w:spacing w:after="40" w:line="240"/>
        <w:jc w:val="both"/>
      </w:pPr>
      <w:r>
        <w:rPr>
          <w:rStyle w:val="FootnoteReference"/>
        </w:rPr>
        <w:footnoteRef/>
      </w:r>
      <w:r>
        <w:rPr>
          <w:rFonts w:ascii="David" w:cs="David" w:eastAsia="David" w:hAnsi="David"/>
          <w:sz w:val="20"/>
          <w:szCs w:val="20"/>
          <w:rtl/>
        </w:rPr>
        <w:t xml:space="preserve"> שם, בעמ' 42-44.</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4">
    <w:p>
      <w:pPr>
        <w:bidi/>
        <w:spacing w:after="40" w:line="240"/>
        <w:jc w:val="both"/>
      </w:pPr>
      <w:r>
        <w:rPr>
          <w:rStyle w:val="FootnoteReference"/>
        </w:rPr>
        <w:footnoteRef/>
      </w:r>
      <w:r>
        <w:rPr>
          <w:rFonts w:ascii="David" w:cs="David" w:eastAsia="David" w:hAnsi="David"/>
          <w:sz w:val="20"/>
          <w:szCs w:val="20"/>
          <w:rtl w:val="false"/>
        </w:rPr>
        <w:t xml:space="preserve"> Hannah Gaffney, Darrick Jolliffe &amp; Howard White, Hot Spot Policing: Toolkit Technical Report 4 (2022).‎</w:t>
      </w:r>
    </w:p>
  </w:footnote>
  <w:footnote w:id="25">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301.</w:t>
      </w:r>
    </w:p>
  </w:footnote>
  <w:footnote w:id="28">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29">
    <w:p>
      <w:pPr>
        <w:bidi/>
        <w:spacing w:after="40" w:line="240"/>
        <w:jc w:val="both"/>
      </w:pPr>
      <w:r>
        <w:rPr>
          <w:rStyle w:val="FootnoteReference"/>
        </w:rPr>
        <w:footnoteRef/>
      </w:r>
      <w:r>
        <w:rPr>
          <w:rFonts w:ascii="David" w:cs="David" w:eastAsia="David" w:hAnsi="David"/>
          <w:sz w:val="20"/>
          <w:szCs w:val="20"/>
          <w:rtl/>
        </w:rPr>
        <w:t xml:space="preserve"> שם, בעמ' 210.</w:t>
      </w:r>
    </w:p>
  </w:footnote>
  <w:footnote w:id="30">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31">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119, 121 (2017).</w:t>
      </w:r>
    </w:p>
  </w:footnote>
  <w:footnote w:id="32">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226, 231 (2020).</w:t>
      </w:r>
    </w:p>
  </w:footnote>
  <w:footnote w:id="33">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Tyler, Goff &amp; MacCoun‎</w:t>
      </w:r>
      <w:r>
        <w:rPr>
          <w:rFonts w:ascii="David" w:cs="David" w:eastAsia="David" w:hAnsi="David"/>
          <w:sz w:val="20"/>
          <w:szCs w:val="20"/>
          <w:rtl/>
        </w:rPr>
        <w:t xml:space="preserve">, לעיל ה"ש 16, בעמ' 75.</w:t>
      </w:r>
    </w:p>
  </w:footnote>
  <w:footnote w:id="36">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37">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38">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39">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22, 36-35 לפסק דינה של הנשיאה חיות.</w:t>
      </w:r>
    </w:p>
  </w:footnote>
  <w:footnote w:id="40">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41 לפסק דינה של הנשיאה חיות.</w:t>
      </w:r>
    </w:p>
  </w:footnote>
  <w:footnote w:id="41">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42">
    <w:p>
      <w:pPr>
        <w:bidi/>
        <w:spacing w:after="40" w:line="240"/>
        <w:jc w:val="both"/>
      </w:pPr>
      <w:r>
        <w:rPr>
          <w:rStyle w:val="FootnoteReference"/>
        </w:rPr>
        <w:footnoteRef/>
      </w:r>
      <w:r>
        <w:rPr>
          <w:rFonts w:ascii="David" w:cs="David" w:eastAsia="David" w:hAnsi="David"/>
          <w:sz w:val="20"/>
          <w:szCs w:val="20"/>
          <w:rtl/>
        </w:rPr>
        <w:t xml:space="preserve">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43">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7 לפסק דינו של השופט שטיין.</w:t>
      </w:r>
    </w:p>
  </w:footnote>
  <w:footnote w:id="44">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4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36 לפסק דינה של הנשיאה חיות.</w:t>
      </w:r>
    </w:p>
  </w:footnote>
  <w:footnote w:id="46">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47">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48">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49">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50">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51">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 11 (2017).</w:t>
      </w:r>
    </w:p>
  </w:footnote>
  <w:footnote w:id="52">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53">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75, 77 (2018).</w:t>
      </w:r>
    </w:p>
  </w:footnote>
  <w:footnote w:id="54">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55">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13, 13 (2017).</w:t>
      </w:r>
    </w:p>
  </w:footnote>
  <w:footnote w:id="5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57">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5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19, בעמ' </w:t>
      </w:r>
      <w:r>
        <w:rPr>
          <w:rFonts w:ascii="David" w:cs="David" w:eastAsia="David" w:hAnsi="David"/>
          <w:sz w:val="20"/>
          <w:szCs w:val="20"/>
          <w:rtl w:val="false"/>
        </w:rPr>
        <w:t xml:space="preserve">xix.‎</w:t>
      </w:r>
    </w:p>
  </w:footnote>
  <w:footnote w:id="5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60">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61">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6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63">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6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242.</w:t>
      </w:r>
    </w:p>
  </w:footnote>
  <w:footnote w:id="6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301.</w:t>
      </w:r>
    </w:p>
  </w:footnote>
  <w:footnote w:id="6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6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68">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69">
    <w:p>
      <w:pPr>
        <w:bidi/>
        <w:spacing w:after="40" w:line="240"/>
        <w:jc w:val="both"/>
      </w:pPr>
      <w:r>
        <w:rPr>
          <w:rStyle w:val="FootnoteReference"/>
        </w:rPr>
        <w:footnoteRef/>
      </w:r>
      <w:r>
        <w:rPr>
          <w:rFonts w:ascii="David" w:cs="David" w:eastAsia="David" w:hAnsi="David"/>
          <w:sz w:val="20"/>
          <w:szCs w:val="20"/>
          <w:rtl/>
        </w:rPr>
        <w:t xml:space="preserve"> אלרן ואחרים, לעיל ה"ש 60, בעמ' 4-3.</w:t>
      </w:r>
    </w:p>
  </w:footnote>
  <w:footnote w:id="7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226.</w:t>
      </w:r>
    </w:p>
  </w:footnote>
  <w:footnote w:id="7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7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25, בס' 1.4.1-1.4.2.</w:t>
      </w:r>
    </w:p>
  </w:footnote>
  <w:footnote w:id="7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74">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75">
    <w:p>
      <w:pPr>
        <w:bidi/>
        <w:spacing w:after="40" w:line="240"/>
        <w:jc w:val="both"/>
      </w:pPr>
      <w:r>
        <w:rPr>
          <w:rStyle w:val="FootnoteReference"/>
        </w:rPr>
        <w:footnoteRef/>
      </w:r>
      <w:r>
        <w:rPr>
          <w:rFonts w:ascii="David" w:cs="David" w:eastAsia="David" w:hAnsi="David"/>
          <w:sz w:val="20"/>
          <w:szCs w:val="20"/>
          <w:rtl/>
        </w:rPr>
        <w:t xml:space="preserve"> שם, בעמ' 7.</w:t>
      </w:r>
    </w:p>
  </w:footnote>
  <w:footnote w:id="76">
    <w:p>
      <w:pPr>
        <w:bidi/>
        <w:spacing w:after="40" w:line="240"/>
        <w:jc w:val="both"/>
      </w:pPr>
      <w:r>
        <w:rPr>
          <w:rStyle w:val="FootnoteReference"/>
        </w:rPr>
        <w:footnoteRef/>
      </w:r>
      <w:r>
        <w:rPr>
          <w:rFonts w:ascii="David" w:cs="David" w:eastAsia="David" w:hAnsi="David"/>
          <w:sz w:val="20"/>
          <w:szCs w:val="20"/>
          <w:rtl/>
        </w:rPr>
        <w:t xml:space="preserve"> ספיר, לעיל ה"ש 4.</w:t>
      </w:r>
    </w:p>
  </w:footnote>
  <w:footnote w:id="7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78">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7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8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8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8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8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30, בעמ' 1718-1719.</w:t>
      </w:r>
    </w:p>
  </w:footnote>
  <w:footnote w:id="8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8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86">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87">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8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231-230.</w:t>
      </w:r>
    </w:p>
  </w:footnote>
  <w:footnote w:id="89">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31, בעמ' 124.</w:t>
      </w:r>
    </w:p>
  </w:footnote>
  <w:footnote w:id="90">
    <w:p>
      <w:pPr>
        <w:bidi/>
        <w:spacing w:after="40" w:line="240"/>
        <w:jc w:val="both"/>
      </w:pPr>
      <w:r>
        <w:rPr>
          <w:rStyle w:val="FootnoteReference"/>
        </w:rPr>
        <w:footnoteRef/>
      </w:r>
      <w:r>
        <w:rPr>
          <w:rFonts w:ascii="David" w:cs="David" w:eastAsia="David" w:hAnsi="David"/>
          <w:sz w:val="20"/>
          <w:szCs w:val="20"/>
          <w:rtl w:val="false"/>
        </w:rPr>
        <w:t xml:space="preserve"> Badi Hasisi &amp; Ronald Weitzer, ‎</w:t>
      </w:r>
      <w:r>
        <w:rPr>
          <w:rFonts w:ascii="David" w:cs="David" w:eastAsia="David" w:hAnsi="David"/>
          <w:i/>
          <w:iCs/>
          <w:sz w:val="20"/>
          <w:szCs w:val="20"/>
          <w:rtl w:val="false"/>
        </w:rPr>
        <w:t xml:space="preserve">Police Relations with Arabs and Jews in Israel‎</w:t>
      </w:r>
      <w:r>
        <w:rPr>
          <w:rFonts w:ascii="David" w:cs="David" w:eastAsia="David" w:hAnsi="David"/>
          <w:sz w:val="20"/>
          <w:szCs w:val="20"/>
          <w:rtl w:val="false"/>
        </w:rPr>
        <w:t xml:space="preserve">, 47 BRIT. J. CRIMINOLOGY 728, 731-732, 739, 741-742 (2007).‎</w:t>
      </w:r>
    </w:p>
  </w:footnote>
  <w:footnote w:id="9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36, בעמ' 112-113, 117-118.</w:t>
      </w:r>
    </w:p>
  </w:footnote>
  <w:footnote w:id="9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93">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94">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167, 167 (2020).</w:t>
      </w:r>
    </w:p>
  </w:footnote>
  <w:footnote w:id="9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96">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9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239-238.</w:t>
      </w:r>
    </w:p>
  </w:footnote>
  <w:footnote w:id="9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99">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247, 276 (2020).</w:t>
      </w:r>
    </w:p>
  </w:footnote>
  <w:footnote w:id="100">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10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233.</w:t>
      </w:r>
    </w:p>
  </w:footnote>
  <w:footnote w:id="102">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103">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104">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10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106">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0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242.</w:t>
      </w:r>
    </w:p>
  </w:footnote>
  <w:footnote w:id="10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9">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239-238.</w:t>
      </w:r>
    </w:p>
  </w:footnote>
  <w:footnote w:id="11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11">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283, 305, 302 (2020).</w:t>
      </w:r>
    </w:p>
  </w:footnote>
  <w:footnote w:id="112">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13">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99, בעמ' 279; וייסבורד ואחרים "סל עבירות פע"ר", לעיל ה"ש 94, בעמ' 167.</w:t>
      </w:r>
    </w:p>
  </w:footnote>
  <w:footnote w:id="11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243.</w:t>
      </w:r>
    </w:p>
  </w:footnote>
  <w:footnote w:id="11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16">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17">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1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1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2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2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22">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23">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24">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25">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2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2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28">
    <w:p>
      <w:pPr>
        <w:bidi/>
        <w:spacing w:after="40" w:line="240"/>
        <w:jc w:val="both"/>
      </w:pPr>
      <w:r>
        <w:rPr>
          <w:rStyle w:val="FootnoteReference"/>
        </w:rPr>
        <w:footnoteRef/>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155 (התשפ"ד).</w:t>
      </w:r>
    </w:p>
  </w:footnote>
  <w:footnote w:id="1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Ferguson Report‎</w:t>
      </w:r>
      <w:r>
        <w:rPr>
          <w:rFonts w:ascii="David" w:cs="David" w:eastAsia="David" w:hAnsi="David"/>
          <w:sz w:val="20"/>
          <w:szCs w:val="20"/>
          <w:rtl/>
        </w:rPr>
        <w:t xml:space="preserve">, לעיל ה"ש 122, בעמ' 2.</w:t>
      </w:r>
    </w:p>
  </w:footnote>
  <w:footnote w:id="1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Final Report‎</w:t>
      </w:r>
      <w:r>
        <w:rPr>
          <w:rFonts w:ascii="David" w:cs="David" w:eastAsia="David" w:hAnsi="David"/>
          <w:sz w:val="20"/>
          <w:szCs w:val="20"/>
          <w:rtl/>
        </w:rPr>
        <w:t xml:space="preserve">, לעיל ה"ש 17, בעמ' 1.</w:t>
      </w:r>
    </w:p>
  </w:footnote>
  <w:footnote w:id="13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Scott‎</w:t>
      </w:r>
      <w:r>
        <w:rPr>
          <w:rFonts w:ascii="David" w:cs="David" w:eastAsia="David" w:hAnsi="David"/>
          <w:sz w:val="20"/>
          <w:szCs w:val="20"/>
          <w:rtl/>
        </w:rPr>
        <w:t xml:space="preserve">, לעיל ה"ש 26, בעמ' </w:t>
      </w:r>
      <w:r>
        <w:rPr>
          <w:rFonts w:ascii="David" w:cs="David" w:eastAsia="David" w:hAnsi="David"/>
          <w:sz w:val="20"/>
          <w:szCs w:val="20"/>
          <w:rtl w:val="false"/>
        </w:rPr>
        <w:t xml:space="preserve">8; National Network for Safe Communities, Group Violence Intervention: An Implementation Guide 5 (2015).‎</w:t>
      </w:r>
    </w:p>
  </w:footnote>
  <w:footnote w:id="13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3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3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116, בפס' </w:t>
      </w:r>
      <w:r>
        <w:rPr>
          <w:rFonts w:ascii="David" w:cs="David" w:eastAsia="David" w:hAnsi="David"/>
          <w:sz w:val="20"/>
          <w:szCs w:val="20"/>
          <w:rtl w:val="false"/>
        </w:rPr>
        <w:t xml:space="preserve">2.2B.‎</w:t>
      </w:r>
    </w:p>
  </w:footnote>
  <w:footnote w:id="13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3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116, בפס' 5.1-5.4.</w:t>
      </w:r>
    </w:p>
  </w:footnote>
  <w:footnote w:id="1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38">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39">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4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41">
    <w:p>
      <w:pPr>
        <w:bidi/>
        <w:spacing w:after="40" w:line="240"/>
        <w:jc w:val="both"/>
      </w:pPr>
      <w:r>
        <w:rPr>
          <w:rStyle w:val="FootnoteReference"/>
        </w:rPr>
        <w:footnoteRef/>
      </w:r>
      <w:r>
        <w:rPr>
          <w:rFonts w:ascii="David" w:cs="David" w:eastAsia="David" w:hAnsi="David"/>
          <w:sz w:val="20"/>
          <w:szCs w:val="20"/>
          <w:rtl/>
        </w:rPr>
        <w:t xml:space="preserve"> שם, בפס' 46.</w:t>
      </w:r>
    </w:p>
  </w:footnote>
  <w:footnote w:id="142">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43">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44">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4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4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47">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41 לפסק דינה של הנשיאה חיות.</w:t>
      </w:r>
    </w:p>
  </w:footnote>
  <w:footnote w:id="14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142, בעמ' 6.</w:t>
      </w:r>
    </w:p>
  </w:footnote>
  <w:footnote w:id="14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50">
    <w:p>
      <w:pPr>
        <w:bidi/>
        <w:spacing w:after="40" w:line="240"/>
        <w:jc w:val="both"/>
      </w:pPr>
      <w:r>
        <w:rPr>
          <w:rStyle w:val="FootnoteReference"/>
        </w:rPr>
        <w:footnoteRef/>
      </w:r>
      <w:r>
        <w:rPr>
          <w:rFonts w:ascii="David" w:cs="David" w:eastAsia="David" w:hAnsi="David"/>
          <w:sz w:val="20"/>
          <w:szCs w:val="20"/>
          <w:rtl/>
        </w:rPr>
        <w:t xml:space="preserve"> סגל, לעיל ה"ש 128, בעמ' 156.</w:t>
      </w:r>
    </w:p>
  </w:footnote>
  <w:footnote w:id="151">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w:t>
      </w:r>
    </w:p>
  </w:footnote>
  <w:footnote w:id="15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138, בפס' 1.1-1.3.</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142, בעמ' 5.</w:t>
      </w:r>
    </w:p>
  </w:footnote>
  <w:footnote w:id="1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20, בס' 5.1, 5.5, 6.1.</w:t>
      </w:r>
    </w:p>
  </w:footnote>
  <w:footnote w:id="15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25, בס' 2.6, 7.1.</w:t>
      </w:r>
    </w:p>
  </w:footnote>
  <w:footnote w:id="15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57">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99, בעמ' 248; ליטמנוביץ ואחרים, לעיל ה"ש 32, בעמ' 240.</w:t>
      </w:r>
    </w:p>
  </w:footnote>
  <w:footnote w:id="15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118, 301.</w:t>
      </w:r>
    </w:p>
  </w:footnote>
  <w:footnote w:id="159">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16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5-4; חסייסי וליטמנוביץ, לעיל ה"ש 31, בעמ' 124.</w:t>
      </w:r>
    </w:p>
  </w:footnote>
  <w:footnote w:id="161">
    <w:p>
      <w:pPr>
        <w:bidi/>
        <w:spacing w:after="40" w:line="240"/>
        <w:jc w:val="both"/>
      </w:pPr>
      <w:r>
        <w:rPr>
          <w:rStyle w:val="FootnoteReference"/>
        </w:rPr>
        <w:footnoteRef/>
      </w:r>
      <w:r>
        <w:rPr>
          <w:rFonts w:ascii="David" w:cs="David" w:eastAsia="David" w:hAnsi="David"/>
          <w:sz w:val="20"/>
          <w:szCs w:val="20"/>
          <w:rtl/>
        </w:rPr>
        <w:t xml:space="preserve"> אלרן ואחרים, לעיל ה"ש 60, בעמ' 4-3.</w:t>
      </w:r>
    </w:p>
  </w:footnote>
  <w:footnote w:id="16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16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19, בעמ' </w:t>
      </w:r>
      <w:r>
        <w:rPr>
          <w:rFonts w:ascii="David" w:cs="David" w:eastAsia="David" w:hAnsi="David"/>
          <w:sz w:val="20"/>
          <w:szCs w:val="20"/>
          <w:rtl w:val="false"/>
        </w:rPr>
        <w:t xml:space="preserve">xix.‎</w:t>
      </w:r>
    </w:p>
  </w:footnote>
  <w:footnote w:id="16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238.</w:t>
      </w:r>
    </w:p>
  </w:footnote>
  <w:footnote w:id="165">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16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Group Violence Intervention‎</w:t>
      </w:r>
      <w:r>
        <w:rPr>
          <w:rFonts w:ascii="David" w:cs="David" w:eastAsia="David" w:hAnsi="David"/>
          <w:sz w:val="20"/>
          <w:szCs w:val="20"/>
          <w:rtl/>
        </w:rPr>
        <w:t xml:space="preserve">, לעיל ה"ש 131, בעמ' 5.</w:t>
      </w:r>
    </w:p>
  </w:footnote>
  <w:footnote w:id="16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227.</w:t>
      </w:r>
    </w:p>
  </w:footnote>
  <w:footnote w:id="16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69">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242.</w:t>
      </w:r>
    </w:p>
  </w:footnote>
  <w:footnote w:id="17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17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172">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17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74">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7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176">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32, בעמ' 242.</w:t>
      </w:r>
    </w:p>
  </w:footnote>
  <w:footnote w:id="177">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178">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179">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180">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111, בעמ' 304, 302.</w:t>
      </w:r>
    </w:p>
  </w:footnote>
  <w:footnote w:id="18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33, בעמ' 2054.</w:t>
      </w:r>
    </w:p>
  </w:footnote>
  <w:footnote w:id="182">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41 לפסק דינה של הנשיאה חיות.</w:t>
      </w:r>
    </w:p>
  </w:footnote>
  <w:footnote w:id="18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116, בפס' </w:t>
      </w:r>
      <w:r>
        <w:rPr>
          <w:rFonts w:ascii="David" w:cs="David" w:eastAsia="David" w:hAnsi="David"/>
          <w:sz w:val="20"/>
          <w:szCs w:val="20"/>
          <w:rtl w:val="false"/>
        </w:rPr>
        <w:t xml:space="preserve">2.2B.‎</w:t>
      </w:r>
    </w:p>
  </w:footnote>
  <w:footnote w:id="18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138, בהמלצה 61.</w:t>
      </w:r>
    </w:p>
  </w:footnote>
  <w:footnote w:id="18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116, בפס' 5.1.</w:t>
      </w:r>
    </w:p>
  </w:footnote>
  <w:footnote w:id="18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140, בפס' 44-47.</w:t>
      </w:r>
    </w:p>
  </w:footnote>
  <w:footnote w:id="187">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88">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189">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179, בעמ' 1844.</w:t>
      </w:r>
    </w:p>
  </w:footnote>
  <w:footnote w:id="19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19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36, בעמ' 112-113, 117-118.</w:t>
      </w:r>
    </w:p>
  </w:footnote>
  <w:footnote w:id="192">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סויסא</w:t>
      </w:r>
      <w:r>
        <w:rPr>
          <w:rFonts w:ascii="David" w:cs="David" w:eastAsia="David" w:hAnsi="David"/>
          <w:sz w:val="20"/>
          <w:szCs w:val="20"/>
          <w:rtl/>
        </w:rPr>
        <w:t xml:space="preserve">, לעיל ה"ש 12, בעמ' 784.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2026-09-24T18:18:01.961Z</dcterms:created>
  <dcterms:modified xsi:type="dcterms:W3CDTF">2026-09-24T18:18:01.961Z</dcterms:modified>
</cp:coreProperties>
</file>

<file path=docProps/custom.xml><?xml version="1.0" encoding="utf-8"?>
<Properties xmlns="http://schemas.openxmlformats.org/officeDocument/2006/custom-properties" xmlns:vt="http://schemas.openxmlformats.org/officeDocument/2006/docPropsVTypes"/>
</file>