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00"/>
        <w:jc w:val="center"/>
      </w:pPr>
      <w:r>
        <w:drawing>
          <wp:inline xmlns:a="http://schemas.openxmlformats.org/drawingml/2006/main" xmlns:pic="http://schemas.openxmlformats.org/drawingml/2006/picture">
            <wp:extent cx="2011680" cy="745473"/>
            <wp:docPr id="1" name="Picture 1"/>
            <wp:cNvGraphicFramePr>
              <a:graphicFrameLocks noChangeAspect="1"/>
            </wp:cNvGraphicFramePr>
            <a:graphic>
              <a:graphicData uri="http://schemas.openxmlformats.org/drawingml/2006/picture">
                <pic:pic>
                  <pic:nvPicPr>
                    <pic:cNvPr id="0" name="5b23c38b-IMG_5936.png"/>
                    <pic:cNvPicPr/>
                  </pic:nvPicPr>
                  <pic:blipFill>
                    <a:blip r:embed="rId9"/>
                    <a:stretch>
                      <a:fillRect/>
                    </a:stretch>
                  </pic:blipFill>
                  <pic:spPr>
                    <a:xfrm>
                      <a:off x="0" y="0"/>
                      <a:ext cx="2011680" cy="745473"/>
                    </a:xfrm>
                    <a:prstGeom prst="rect"/>
                  </pic:spPr>
                </pic:pic>
              </a:graphicData>
            </a:graphic>
          </wp:inline>
        </w:drawing>
      </w:r>
    </w:p>
    <w:p>
      <w:pPr>
        <w:bidi w:val="1"/>
        <w:spacing w:line="240" w:lineRule="auto" w:after="120"/>
        <w:jc w:val="center"/>
      </w:pPr>
      <w:r>
        <w:rPr>
          <w:rFonts w:ascii="David" w:hAnsi="David" w:cs="David"/>
          <w:b/>
          <w:i w:val="0"/>
          <w:sz w:val="28"/>
          <w:szCs w:val="28"/>
          <w:rtl w:val="1"/>
        </w:rPr>
        <w:t>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(מ' בן-חורין, הרצאות הקורס,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(מ' בן-חורין, הרצאות הקורס, תשפ"ו).</w:t>
      </w:r>
    </w:p>
    <w:p>
      <w:pPr>
        <w:bidi w:val="1"/>
        <w:spacing w:line="360" w:lineRule="auto" w:after="160"/>
        <w:jc w:val="both"/>
      </w:pPr>
      <w:r>
        <w:rPr>
          <w:rFonts w:ascii="David" w:hAnsi="David" w:cs="David"/>
          <w:b w:val="0"/>
          <w:i w:val="0"/>
          <w:sz w:val="24"/>
          <w:szCs w:val="24"/>
          <w:rtl w:val="1"/>
        </w:rPr>
        <w:t>הדיון מתקדם בשלושה מהלכים: גישתו של כל מחזה אל המקור המיתי ואל יסוד הגורל, סצנת היסוד של הגיבורה מול השליט, ולבסוף הפתרון המנוגד של שני המחזות ומה שאפשר ללמוד ממנו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(מ' בן-חורין, הרצאות הקורס,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(מ' בן-חורין, הרצאות הקורס,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ניכר כבר ברמת הצורה. ברכט אינו מבקש שהצופה יזדהה עם הגורל הטרגי אלא שיתבונן בו מבחוץ, ולכן הוא ממקם את הפרולוג בזמן ובמקום קונקרטיים ומנתק את ההזדהות המיתית, מהלך של הרחקה (Verfremdung) שהקורס מזהה כמרכזי בתיאטרון של ברכט (מ' בן-חורין, הרצאות הקורס, תשפ"ו). הצורה עצמה נושאת את העמדה: אנטיגונה כתובה כדרמה אפית ופתוחה, קטועה, המשלבת מקהלה ופרולוג עכשווי ומסרבת לאשליה של רצף אחיד, ואילו איפיגניה כתובה בתבנית הקלאסית הסגורה, בחרוזים לבנים מדודים שבהם כל מהלך נובע מקודמו עד הפיוס, צורה המגלמת את אמון ויימאר בהרמוניה. גיתה אינו מרחיק את הגורל אלא מפנים אותו: מה שהיה אצל אוריפידס כוח חיצוני של האלים הופך אצלו לקול המצפון, והדרמה כולה נעה מן החוץ אל הפנים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(מ' בן-חורין, הרצאות הקורס,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(מ' בן-חורין, הרצאות הקורס,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מלמדת שהמיתוס אינו נושא בתוכו משמעות אחת קבועה, אלא הוא מעין מסך שעליו כל דרמטורג מקרין את שאלת תקופתו (מ' בן-חורין, הרצאות הקורס, תשפ"ו). גיתה, בן הקלאסיקה של ויימאר, מקרין עליו את האמונה הנאורה ביכולת האדם, וברכט, אחרי המלחמה, את החשד כלפי אותה אמונה עצמה (Duarte, 2017).</w:t>
      </w:r>
    </w:p>
    <w:p>
      <w:pPr>
        <w:bidi w:val="1"/>
        <w:spacing w:line="360" w:lineRule="auto" w:after="160"/>
        <w:jc w:val="both"/>
      </w:pPr>
      <w:r>
        <w:rPr>
          <w:rFonts w:ascii="David" w:hAnsi="David" w:cs="David"/>
          <w:b w:val="0"/>
          <w:i w:val="0"/>
          <w:sz w:val="24"/>
          <w:szCs w:val="24"/>
          <w:rtl w:val="1"/>
        </w:rPr>
        <w:t>ההבדל נוגע ישירות בדמות הגיבורה. אנטיגונה של ברכט ואיפיגניה של גיתה שתיהן נשים המתייצבות מול סמכות גברית בשם ערך עליון, אך אצל ברכט הערך הוא צדק פוליטי המוביל אל מוות, ואצל גיתה אנושיות המובילה אל חיים. אלה שני דגמים של גבורה נשית: האחת מפרה את הצו ומשלמת על כך בחייה, השנייה אינה מפרה דבר אלא משנה את הצו מבפנים, בכוח דיבורה. העמדתן זו מול זו היא בדיוק כלי הקריאה ההשוואתית שהקורס מציע, קריאה הבוחנת לא יצירה יחידה אלא את היחסים בין יצירות הפונות אל אותו מיתוס (מ' בן-חורין, הרצאות הקורס,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(מ' בן-חורין, הרצאות הקורס,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10">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1">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2">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21476/pp.2017.2295" TargetMode="External"/><Relationship Id="rId11" Type="http://schemas.openxmlformats.org/officeDocument/2006/relationships/hyperlink" Target="https://journal.kci.go.kr/eih/archive/articleView?artiId=ART002095978" TargetMode="External"/><Relationship Id="rId12"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