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p>
    <w:p>
      <w:pPr>
        <w:bidi/>
        <w:spacing w:after="120" w:line="360"/>
        <w:jc w:val="center"/>
      </w:pPr>
      <w:r>
        <w:rPr>
          <w:b w:val="false"/>
          <w:bCs w:val="false"/>
          <w:sz w:val="24"/>
          <w:szCs w:val="24"/>
        </w:rPr>
        <w:t xml:space="preserve">הפקולטה לחינוך, החוג לגיל הרך</w:t>
      </w:r>
    </w:p>
    <w:p>
      <w:pPr>
        <w:bidi/>
        <w:spacing w:after="600" w:line="360"/>
        <w:jc w:val="center"/>
      </w:pPr>
      <w:r>
        <w:rPr>
          <w:b w:val="false"/>
          <w:bCs w:val="false"/>
          <w:sz w:val="24"/>
          <w:szCs w:val="24"/>
        </w:rPr>
        <w:t xml:space="preserve">עבודה סמינריונית</w:t>
      </w:r>
    </w:p>
    <w:p>
      <w:pPr>
        <w:bidi/>
        <w:spacing w:after="900" w:line="360"/>
        <w:jc w:val="center"/>
      </w:pPr>
      <w:r>
        <w:rPr>
          <w:b/>
          <w:bCs/>
          <w:sz w:val="30"/>
          <w:szCs w:val="30"/>
        </w:rPr>
        <w:t xml:space="preserve">שם המחקר: תנועה חופשית ומוזיקה כאמצעי לוויסות רגשי בגיל הרך</w:t>
      </w:r>
    </w:p>
    <w:p>
      <w:pPr>
        <w:bidi/>
        <w:spacing w:after="120" w:line="360"/>
        <w:jc w:val="center"/>
      </w:pPr>
      <w:r>
        <w:rPr>
          <w:b w:val="false"/>
          <w:bCs w:val="false"/>
          <w:sz w:val="24"/>
          <w:szCs w:val="24"/>
        </w:rPr>
        <w:t xml:space="preserve">שם הסטודנט/ית: ______________   ת"ז: ______________</w:t>
      </w:r>
    </w:p>
    <w:p>
      <w:pPr>
        <w:bidi/>
        <w:spacing w:after="120" w:line="360"/>
        <w:jc w:val="center"/>
      </w:pPr>
      <w:r>
        <w:rPr>
          <w:b w:val="false"/>
          <w:bCs w:val="false"/>
          <w:sz w:val="24"/>
          <w:szCs w:val="24"/>
        </w:rPr>
        <w:t xml:space="preserve">שם המרצה: ______________</w:t>
      </w:r>
    </w:p>
    <w:p>
      <w:pPr>
        <w:bidi/>
        <w:spacing w:after="120" w:line="360"/>
        <w:jc w:val="center"/>
      </w:pPr>
      <w:r>
        <w:rPr>
          <w:b w:val="false"/>
          <w:bCs w:val="false"/>
          <w:sz w:val="24"/>
          <w:szCs w:val="24"/>
        </w:rPr>
        <w:t xml:space="preserve">בקורס: מוזיקה ומוזיקליות בגיל הרך</w:t>
      </w:r>
    </w:p>
    <w:p>
      <w:pPr>
        <w:bidi/>
        <w:spacing w:after="120" w:line="360"/>
        <w:jc w:val="center"/>
      </w:pPr>
      <w:r>
        <w:rPr>
          <w:b w:val="false"/>
          <w:bCs w:val="false"/>
          <w:sz w:val="24"/>
          <w:szCs w:val="24"/>
        </w:rPr>
        <w:t xml:space="preserve">חודש, שנה</w:t>
      </w:r>
    </w:p>
    <w:p>
      <w:pPr>
        <w:bidi/>
      </w:pPr>
      <w:r>
        <w:br w:type="page"/>
      </w:r>
    </w:p>
    <w:p>
      <w:pPr>
        <w:bidi/>
        <w:spacing w:after="160"/>
        <w:jc w:val="center"/>
      </w:pPr>
      <w:r>
        <w:rPr>
          <w:b/>
          <w:bCs/>
          <w:sz w:val="28"/>
          <w:szCs w:val="28"/>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pPr>
        <w:pStyle w:val="Heading1"/>
        <w:pageBreakBefore/>
        <w:bidi/>
        <w:spacing w:after="120" w:before="240" w:line="360"/>
        <w:jc w:val="right"/>
      </w:pPr>
      <w:r>
        <w:t xml:space="preserve">1. מבוא</w:t>
      </w:r>
    </w:p>
    <w:p>
      <w:pPr>
        <w:bidi/>
        <w:spacing w:after="120" w:before="0" w:line="360"/>
        <w:jc w:val="both"/>
      </w:pPr>
      <w:r>
        <w:t xml:space="preserve">מוזיקה ותנועה מלוות את האדם מן הרגע הראשון. עוד לפני שהתינוק יודע לדבר, הוא נרגע לצליל שיר ערש ונע לקצב. בגיל הרך הקשר הזה בין צליל, גוף ורגש נעשה גלוי במיוחד, וילדים רבים מגיבים למוזיקה בתנועה ספונטנית עוד לפני שהם מסוגלים להסביר במילים מה הם חשים.</w:t>
      </w:r>
    </w:p>
    <w:p>
      <w:pPr>
        <w:bidi/>
        <w:spacing w:after="120" w:before="0" w:line="360"/>
        <w:jc w:val="both"/>
      </w:pPr>
      <w:r>
        <w:t xml:space="preserve">ויסות רגשי הוא היכולת לשים לב לרגש, להעריך אותו ולווסת את עוצמתו ואת אופן הביטוי שלו כך שיתאים למצב. זו אחת ממשימות ההתפתחות המרכזיות של הגיל הרך, והיא קשורה להסתגלות חברתית, ללמידה ולרווחה לאורך החיים. מכיוון שילדים צעירים מתקשים לעיתים לבטא רגשות במילים, ערוצים גופניים כמו תנועה ומוזיקה עשויים להיות דרך משמעותית שבה הם מווסתים ומביעים את עולמם הפנימי.</w:t>
      </w:r>
    </w:p>
    <w:p>
      <w:pPr>
        <w:bidi/>
        <w:spacing w:after="120" w:before="0" w:line="360"/>
        <w:jc w:val="both"/>
      </w:pPr>
      <w:r>
        <w:t xml:space="preserve">מטרת המחקר הנוכחי היא לבחון כיצד תנועה חופשית למוזיקה מסגנונות שונים קשורה לוויסות רגשי אצל ילדים בגיל הרך, וכיצד משתנה התגובה בין האזנה ראשונה להאזנה חוזרת. מטרות המשנה הן לזהות סימנים תנועתיים והבעתיים של ויסות, ולבחון האם סגנון מוזיקלי משפיע על אופן הוויסות.</w:t>
      </w:r>
    </w:p>
    <w:p>
      <w:pPr>
        <w:bidi/>
        <w:spacing w:after="120" w:before="0" w:line="360"/>
        <w:jc w:val="both"/>
      </w:pPr>
      <w:r>
        <w:t xml:space="preserve">חשיבות המחקר כפולה. מבחינה תיאורטית הוא מרחיב את ההבנה של הקשר בין מוזיקה, גוף ורגש בגיל הרך. מבחינה יישומית הוא עשוי לתת בידי גננות כלי פשוט וזמין, האזנה ותנועה חופשית, לתמיכה בוויסות רגשי ובביטוי עצמי בגן. בעבודה זו נבדוק את הנושא בגישת מחקר פעולה איכותנית, המשלבת תצפית מצולמת, יומן חוקר ורפלקציה.</w:t>
      </w:r>
    </w:p>
    <w:p>
      <w:pPr>
        <w:bidi/>
        <w:spacing w:after="120" w:before="0" w:line="360"/>
        <w:jc w:val="both"/>
      </w:pPr>
      <w:r>
        <w:t xml:space="preserve">היבט אישי: הבחירה בנושא נובעת מתוך התבוננות בילדים בשדה החינוכי, שבה ניכר שוב ושוב עד כמה מוזיקה ותנועה מרגיעות, מארגנות ומאפשרות ביטוי. עניין אישי זה הוביל אותי לבחון את הקשר לעומק.</w:t>
      </w:r>
    </w:p>
    <w:p>
      <w:pPr>
        <w:pStyle w:val="Heading1"/>
        <w:pageBreakBefore/>
        <w:bidi/>
        <w:spacing w:after="120" w:before="240" w:line="360"/>
        <w:jc w:val="right"/>
      </w:pPr>
      <w:r>
        <w:t xml:space="preserve">2. סקירת ספרות</w:t>
      </w:r>
    </w:p>
    <w:p>
      <w:pPr>
        <w:bidi/>
        <w:spacing w:after="120" w:before="0" w:line="360"/>
        <w:jc w:val="both"/>
      </w:pPr>
      <w:r>
        <w:t xml:space="preserve">סקירה זו בנויה כמשפך. תחילה נבחן את הקשר הרחב בין מוזיקה, תנועה ורגש אצל האדם ואת מושג הוויסות הרגשי. לאחר מכן נצטמצם אל מקומן של מוזיקה ותנועה בגיל הרך ובחינוך. בסוף נתמקד בעדויות מחקריות על מוזיקה ותנועה ככלי לוויסות רגשי, ומהן תיגזר שאלת המחקר.</w:t>
      </w:r>
    </w:p>
    <w:p>
      <w:pPr>
        <w:pStyle w:val="Heading2"/>
        <w:bidi/>
        <w:spacing w:after="100" w:before="200" w:line="360"/>
        <w:jc w:val="right"/>
      </w:pPr>
      <w:r>
        <w:t xml:space="preserve">2.1 מוזיקה, תנועה ורגש: הקשר האנושי</w:t>
      </w:r>
    </w:p>
    <w:p>
      <w:pPr>
        <w:bidi/>
        <w:spacing w:after="120" w:before="0" w:line="360"/>
        <w:jc w:val="both"/>
      </w:pPr>
      <w:r>
        <w:t xml:space="preserve">מוזיקה היא תופעה אנושית אוניברסלית, והקשר שלה לרגש אינו מקרי. אנשים פונים למוזיקה כדי להירגע, להתעורר, להתנחם או לשנות מצב רוח, והם עושים זאת הן דרך האזנה והן דרך נגינה, שירה ותנועה. סקירה שיטתית ומטא-אנליזה מצאה כי עיסוק פעיל במוזיקה קשור ליכולת ויסות רגשי טובה יותר במגוון גילים והקשרים, כלומר המוזיקה אינה רק גירוי נעים אלא משאב שבאמצעותו אנשים מנהלים את מה שהם מרגישים (Peters et al., 2024).</w:t>
      </w:r>
    </w:p>
    <w:p>
      <w:pPr>
        <w:bidi/>
        <w:spacing w:after="120" w:before="0" w:line="360"/>
        <w:jc w:val="both"/>
      </w:pPr>
      <w:r>
        <w:t xml:space="preserve">תחום המחקר של ויסות רגשי מבוסס-מוזיקה כבר אינו צעיר. סקירה ביבליומטרית שמיפתה את הספרות בין השנים 2000 ל-2024 זיהתה שלושה שלבים, חקירה ראשונית, צמיחה מהירה והתבססות בעשור האחרון, לצד התרחבות של שיתופי הפעולה הבינלאומיים. תמונה זו מלמדת שמדובר בתחום מחקר בשל, שיש בו בסיס איתן להתמקדות בגיל הרך (Lu &amp; Song, 2025).</w:t>
      </w:r>
    </w:p>
    <w:p>
      <w:pPr>
        <w:pStyle w:val="Heading2"/>
        <w:bidi/>
        <w:spacing w:after="100" w:before="200" w:line="360"/>
        <w:jc w:val="right"/>
      </w:pPr>
      <w:r>
        <w:t xml:space="preserve">2.2 ויסות רגשי והתפתחותו בגיל הרך</w:t>
      </w:r>
    </w:p>
    <w:p>
      <w:pPr>
        <w:bidi/>
        <w:spacing w:after="120" w:before="0" w:line="360"/>
        <w:jc w:val="both"/>
      </w:pPr>
      <w:r>
        <w:t xml:space="preserve">ויסות רגשי נחשב לאחת מאבני היסוד של הכשירות הרגשית-חברתית בשנות הגן. באותן שנים הילד מתחיל לעבור מוויסות תלוי-מבוגר לוויסות עצמאי יותר, ולפתח ביטוי רגשי מותאם למצב ולנורמות החברתיות. מחקר עדכני מדגיש כי הגן אינו רק זירת למידה אלא הקשר משמעותי לעיצוב הוויסות, ובו גם עמיתים, ולא רק מבוגרים, משפיעים על התפתחות היכולת (Diebold et al., 2025).</w:t>
      </w:r>
    </w:p>
    <w:p>
      <w:pPr>
        <w:bidi/>
        <w:spacing w:after="120" w:before="0" w:line="360"/>
        <w:jc w:val="both"/>
      </w:pPr>
      <w:r>
        <w:t xml:space="preserve">היכולת לווסת אינה מתפתחת בחלל ריק אלא מתוך ויסות משותף, שבו מבוגר או עמית מסייעים לילד לארגן את עוררותו. תנועה וקול הם מהערוצים הראשונים שבהם מתרחש ויסות זה, עוד לפני השפה. מודל התערבות מוזיקלי מצביע על שלושה גורמים שהתערבות כזו יכולה להשפיע עליהם, עוררות פיזיולוגית הנמדדת למשל בטונוס הוואגלי, שליטה מאמצית, וויסות משותף בין הילד לבין מבוגר או עמית, ובכך מציע הסבר מנגנוני לקשר בין מוזיקה לוויסות (Sena Moore et al., 2025).</w:t>
      </w:r>
    </w:p>
    <w:p>
      <w:pPr>
        <w:pStyle w:val="Heading2"/>
        <w:bidi/>
        <w:spacing w:after="100" w:before="200" w:line="360"/>
        <w:jc w:val="right"/>
      </w:pPr>
      <w:r>
        <w:t xml:space="preserve">2.3 מוזיקה ותנועה בגיל הרך ובחינוך</w:t>
      </w:r>
    </w:p>
    <w:p>
      <w:pPr>
        <w:bidi/>
        <w:spacing w:after="120" w:before="0" w:line="360"/>
        <w:jc w:val="both"/>
      </w:pPr>
      <w:r>
        <w:t xml:space="preserve">בגיל הרך הקשר בין מוזיקה לתנועה גלוי לעין, וילד ששומע קצב זז אליו כמעט מעצמו. מחקר איכותני מצא כי ילדים מבטאים את תפיסתם המוזיקלית דרך תנועה ספונטנית, במיוחד כשהמקצב ברור, וכי הם עושים זאת גם כשאינם מסוגלים להסביר את המוזיקה במילים. התנועה משמשת אותם כשפה, והגוף הופך למתווך בין הצליל לבין ההבנה (כהן, 2016).</w:t>
      </w:r>
    </w:p>
    <w:p>
      <w:pPr>
        <w:bidi/>
        <w:spacing w:after="120" w:before="0" w:line="360"/>
        <w:jc w:val="both"/>
      </w:pPr>
      <w:r>
        <w:t xml:space="preserve">בישראל המוזיקה שזורה בשגרת הגן כבר מגיל הינקות, ומלווה התפתחות קולית, תקשורת ומוזיקליות מוקדמת (ענבר, 2022). היקף הנוכחות של המוזיקה בגן בא לידי ביטוי גם בבחירת הרפרטואר המוזיקלי במגזרים השונים בחברה הישראלית, ממצא המלמד שהמוזיקה אינה אירוע חד-פעמי אלא חלק מן העשייה היומיומית של הגננת (סולקין, מאיר וניקריטין, 2022).</w:t>
      </w:r>
    </w:p>
    <w:p>
      <w:pPr>
        <w:bidi/>
        <w:spacing w:after="120" w:before="0" w:line="360"/>
        <w:jc w:val="both"/>
      </w:pPr>
      <w:r>
        <w:t xml:space="preserve">גם צד התנועה זכה לתשומת לב מחקרית. סקירה יישומית מראה כי פעילות מבוססת-תנועה, ובכללה משחקי תנועה, פעילות גופנית, מוזיקה וריקוד ותרגול קשב, מקדמת ויסות עצמי, עיכוב תגובה, זיכרון עבודה וקשב בגיל הרך (Savina, 2025). זווית נוספת נוגעת לביטוי הרגשי: בתוכנית מחול יצירתי הצליחו ילדים בגן לבטא רגשות שקשה להם לנסח במילים, והדבר תרם גם לכשירותם החברתית (Cetin &amp; Cevikbas, 2020).</w:t>
      </w:r>
    </w:p>
    <w:p>
      <w:pPr>
        <w:pStyle w:val="Heading2"/>
        <w:bidi/>
        <w:spacing w:after="100" w:before="200" w:line="360"/>
        <w:jc w:val="right"/>
      </w:pPr>
      <w:r>
        <w:t xml:space="preserve">2.4 מוזיקה ותנועה ככלי לוויסות רגשי: עדויות ממחקרי התערבות</w:t>
      </w:r>
    </w:p>
    <w:p>
      <w:pPr>
        <w:bidi/>
        <w:spacing w:after="120" w:before="0" w:line="360"/>
        <w:jc w:val="both"/>
      </w:pPr>
      <w:r>
        <w:t xml:space="preserve">בשנים האחרונות הצטברו מחקרים שבדקו ישירות אם אפשר לחזק ויסות רגשי אצל ילדים צעירים באמצעות מוזיקה ותנועה. מחקר השוואתי בחן תוכנית מוזיקה בגיל הרך שכוונה לילדים בסיכון עקב עוני, ומצא כי הילדים שהשתתפו בתוכנית הראו גדילה גדולה יותר בשליטה מעכבת בהשוואה לילדים במסגרת גן רגילה. הממצא חשוב במיוחד משום שהוא נוגע דווקא באוכלוסייה שמתקשה בוויסות (Brown et al., 2022).</w:t>
      </w:r>
    </w:p>
    <w:p>
      <w:pPr>
        <w:bidi/>
        <w:spacing w:after="120" w:before="0" w:line="360"/>
        <w:jc w:val="both"/>
      </w:pPr>
      <w:r>
        <w:t xml:space="preserve">ראיה חזקה עוד יותר מגיעה מניסוי מבוקר אקראי. במסגרת תוכנית קצב ותנועה שהעבירו גננות שאומנו לכך בגנים בקהילות מוחלשות, הילדים בקבוצת ההתערבות הראו שיפור בוויסות רגשי לפי דיווח הגננות, והבנים אף הראו שיפור בגמישות קוגניטיבית. העובדה שהתוכנית הופעלה בידי הגננות עצמן ולא בידי מומחים חיצוניים מחזקת את ההיתכנות היישומית שלה בגן רגיל (Williams et al., 2023).</w:t>
      </w:r>
    </w:p>
    <w:p>
      <w:pPr>
        <w:bidi/>
        <w:spacing w:after="120" w:before="0" w:line="360"/>
        <w:jc w:val="both"/>
      </w:pPr>
      <w:r>
        <w:t xml:space="preserve">מעבר לשאלה אם זה עובד, יש ערך בהבנה של איך זה עובד. מודל התערבות מוזיקלי מובנה מתאר כיצד התערבות המכוונת אל העוררות הפיזיולוגית, אל השליטה המאמצת ואל הוויסות המשותף תומכת בהתפתחות הוויסות בגיל הרך, ובכך מאפשר תכנון מושכל של פעילות ולא רק ניסוי וטעייה (Sena Moore et al., 2025).</w:t>
      </w:r>
    </w:p>
    <w:p>
      <w:pPr>
        <w:bidi/>
        <w:spacing w:after="120" w:before="0" w:line="360"/>
        <w:jc w:val="both"/>
      </w:pPr>
      <w:r>
        <w:t xml:space="preserve">גם עולם התנועה הטיפולית תרם ראיות. טיפול בתנועה ובמחול במסגרת בית ספרית עבור ילדים עם קשיים רגשיים והתנהגותיים הביא לשיפור ברווחה, באיכות השינה ובקשיים הרגשיים וההתנהגותיים, והשיפור נשמר עד חצי שנה לאחר סיום ההתערבות. אף שהמחקר עסק בילדים מעט גדולים יותר, הוא מחזק את התמונה הכללית שלפיה תנועה לצלילי מוזיקה יכולה לשמש ערוץ ויסות של ממש (Moula et al., 2022).</w:t>
      </w:r>
    </w:p>
    <w:p>
      <w:pPr>
        <w:pStyle w:val="Heading2"/>
        <w:bidi/>
        <w:spacing w:after="100" w:before="200" w:line="360"/>
        <w:jc w:val="right"/>
      </w:pPr>
      <w:r>
        <w:t xml:space="preserve">2.5 תנועה חופשית מול תנועה מובנית</w:t>
      </w:r>
    </w:p>
    <w:p>
      <w:pPr>
        <w:bidi/>
        <w:spacing w:after="120" w:before="0" w:line="360"/>
        <w:jc w:val="both"/>
      </w:pPr>
      <w:r>
        <w:t xml:space="preserve">מרבית הראיות שהוצגו נסמכות על תוכניות מובנות ומונחות מבוגר. לתנועה החופשית, שאינה מוכתבת מראש, יש ערך משלים. היא מאפשרת לילד להגיב למוזיקה באופן אישי ואותנטי, ודרכה אפשר להתבונן כיצד הוא מווסת ומביע רגש ללא הכוונה חיצונית. הגוף פועל כאן כערוץ תקשורת בלתי מילולי, המאפשר לבטא חוויה גם כשהמילים חסרות (Cetin &amp; Cevikbas, 2020; Savina, 2025).</w:t>
      </w:r>
    </w:p>
    <w:p>
      <w:pPr>
        <w:pStyle w:val="Heading2"/>
        <w:bidi/>
        <w:spacing w:after="100" w:before="200" w:line="360"/>
        <w:jc w:val="right"/>
      </w:pPr>
      <w:r>
        <w:t xml:space="preserve">2.6 סיכום הסקירה והפער המחקרי</w:t>
      </w:r>
    </w:p>
    <w:p>
      <w:pPr>
        <w:bidi/>
        <w:spacing w:after="120" w:before="0" w:line="360"/>
        <w:jc w:val="both"/>
      </w:pPr>
      <w:r>
        <w:t xml:space="preserve">מן הספרות עולה קו ברור. מוזיקה ותנועה קשורות לרגש ולוויסותו, והן עושות זאת דרך הגוף, לעיתים עוד לפני המילים. תוכניות מובנות של קצב, תנועה ומוזיקה מסוגלות לחזק ויסות רגשי אצל ילדים צעירים, ולעיתים דווקא אצל מי שזקוק לכך יותר (Brown et al., 2022; Williams et al., 2023). לצד ההסכמה הזו בולט פער. רוב הראיות מגיעות מהתערבויות מובנות, לא פעם עם אוכלוסיות בסיכון או קליניות, ורובן נערכו מחוץ לישראל.</w:t>
      </w:r>
    </w:p>
    <w:p>
      <w:pPr>
        <w:bidi/>
        <w:spacing w:after="120" w:before="0" w:line="360"/>
        <w:jc w:val="both"/>
      </w:pPr>
      <w:r>
        <w:t xml:space="preserve">פחות ידוע על תנועה חופשית ולא מובנית למוזיקה כחלון אל אופן הוויסות של הילד בגן היומיומי, ועל האופן שבו ההיכרות החוזרת עם אותה מוזיקה משנה את התגובה. פער זה מהווה את הבסיס למחקר הנוכחי.</w:t>
      </w:r>
    </w:p>
    <w:p>
      <w:pPr>
        <w:bidi/>
        <w:spacing w:after="120" w:before="0" w:line="360"/>
        <w:jc w:val="both"/>
      </w:pPr>
      <w:r>
        <w:rPr>
          <w:b/>
          <w:bCs/>
        </w:rPr>
        <w:t xml:space="preserve">שאלת המחקר: </w:t>
      </w:r>
      <w:r>
        <w:t xml:space="preserve">האם וכיצד תנועה חופשית למוזיקה מסגנונות שונים משקפת ומקדמת ויסות רגשי אצל ילדים בגיל הרך, וכיצד משתנה התגובה התנועתית והרגשית בין האזנה ראשונה להאזנה חוזרת?</w:t>
      </w:r>
    </w:p>
    <w:p>
      <w:pPr>
        <w:pStyle w:val="Heading1"/>
        <w:pageBreakBefore/>
        <w:bidi/>
        <w:spacing w:after="120" w:before="240" w:line="360"/>
        <w:jc w:val="right"/>
      </w:pPr>
      <w:r>
        <w:t xml:space="preserve">3. שיטה</w:t>
      </w:r>
    </w:p>
    <w:p>
      <w:pPr>
        <w:pStyle w:val="Heading2"/>
        <w:bidi/>
        <w:spacing w:after="100" w:before="200" w:line="360"/>
        <w:jc w:val="right"/>
      </w:pPr>
      <w:r>
        <w:t xml:space="preserve">3.1 שאלת המחקר</w:t>
      </w:r>
    </w:p>
    <w:p>
      <w:pPr>
        <w:bidi/>
        <w:spacing w:after="120" w:before="0" w:line="360"/>
        <w:jc w:val="both"/>
      </w:pPr>
      <w:r>
        <w:t xml:space="preserve">המחקר בחן את הקשר בין האזנה למוזיקה מסגנונות שונים לבין תגובות תנועתיות והבעתיות המעידות על ויסות רגשי, במסגרת תנועה חופשית. שאלת המחקר: האם וכיצד תנועה חופשית למוזיקה מסגנונות שונים משקפת ומקדמת ויסות רגשי אצל ילדים בגיל הרך, וכיצד משתנה התגובה בין האזנה ראשונה להאזנה חוזרת?</w:t>
      </w:r>
    </w:p>
    <w:p>
      <w:pPr>
        <w:pStyle w:val="Heading2"/>
        <w:bidi/>
        <w:spacing w:after="100" w:before="200" w:line="360"/>
        <w:jc w:val="right"/>
      </w:pPr>
      <w:r>
        <w:t xml:space="preserve">3.2 הגישה המחקרית</w:t>
      </w:r>
    </w:p>
    <w:p>
      <w:pPr>
        <w:bidi/>
        <w:spacing w:after="120" w:before="0" w:line="360"/>
        <w:jc w:val="both"/>
      </w:pPr>
      <w:r>
        <w:t xml:space="preserve">המחקר נערך בגישת מחקר פעולה, גישה איכותנית רפלקטיבית המתמקדת בלמידה מתוך עשייה ובבחינה מתמשכת של תהליכי פעולה, תצפית והערכה. גישה זו מתאימה לבחינת תגובות תנועתיות ורגשיות במסגרת טבעית של האזנה חופשית, ומאפשרת לחוקרת מעורבות פעילה לצד התבוננות חוזרת בתיעוד.</w:t>
      </w:r>
    </w:p>
    <w:p>
      <w:pPr>
        <w:pStyle w:val="Heading2"/>
        <w:bidi/>
        <w:spacing w:after="100" w:before="200" w:line="360"/>
        <w:jc w:val="right"/>
      </w:pPr>
      <w:r>
        <w:t xml:space="preserve">3.3 משתתפי המחקר</w:t>
      </w:r>
    </w:p>
    <w:p>
      <w:pPr>
        <w:bidi/>
        <w:spacing w:after="120" w:before="0" w:line="360"/>
        <w:jc w:val="both"/>
      </w:pPr>
      <w:r>
        <w:t xml:space="preserve">במחקר השתתפו שני ילדים בגיל הרך, בני 4 עד 5, מגן שבו עובדת החוקרת (הפרטים המדויקים יושלמו על ידי הכותב/ת). הבחירה בשני משתתפים מאפשרת התבוננות מעמיקה ואיכותנית בכל ילד ומעקב אחר שינוי לאורך המפגשים.</w:t>
      </w:r>
    </w:p>
    <w:p>
      <w:pPr>
        <w:pStyle w:val="Heading2"/>
        <w:bidi/>
        <w:spacing w:after="100" w:before="200" w:line="360"/>
        <w:jc w:val="right"/>
      </w:pPr>
      <w:r>
        <w:t xml:space="preserve">3.4 כלי המחקר</w:t>
      </w:r>
    </w:p>
    <w:p>
      <w:pPr>
        <w:bidi/>
        <w:spacing w:after="120" w:before="0" w:line="360"/>
        <w:jc w:val="both"/>
      </w:pPr>
      <w:r>
        <w:t xml:space="preserve">במחקר נעשה שימוש בכמה כלים משלימים. תצפית משתתפת בלתי מובנית שימשה כלי מרכזי, ובה תועדו תגובות תנועתיות ספונטניות, שימוש במרחב, הבעות פנים וסימני עוררות והרגעה. כל מפגש צולם באמצעות טלפון נייד שהוצב בזווית קבועה, לצורך צפייה חוזרת וניתוח מדויק. לאחר כל מפגש נכתב יומן חוקר שכלל תיעוד רפלקטיבי של המהלך, של דפוסי התנועה ושל ההתרשמות הרגשית. כן נבחרו קטעי מוזיקה קצרים מסגנונות שונים, מהם קצביים ואנרגטיים ומהם איטיים וזורמים, כדי לבחון תגובות מגוונות.</w:t>
      </w:r>
    </w:p>
    <w:p>
      <w:pPr>
        <w:pStyle w:val="Heading2"/>
        <w:bidi/>
        <w:spacing w:after="100" w:before="200" w:line="360"/>
        <w:jc w:val="right"/>
      </w:pPr>
      <w:r>
        <w:t xml:space="preserve">3.5 מהלך המחקר</w:t>
      </w:r>
    </w:p>
    <w:p>
      <w:pPr>
        <w:bidi/>
        <w:spacing w:after="120" w:before="0" w:line="360"/>
        <w:jc w:val="both"/>
      </w:pPr>
      <w:r>
        <w:t xml:space="preserve">המחקר כלל שמונה מפגשים קצרים שנערכו בחדר שקט בגן. בכל מפגש הושמע קטע מוזיקלי אחד, והילד הוזמן לנוע באופן חופשי. הותרו האזנה ראשונה והאזנה חוזרת לאותו קטע כדי לבחון שינוי. הטבלה שלהלן מציגה את מתווה המפגשים.</w:t>
      </w:r>
    </w:p>
    <w:p>
      <w:pPr>
        <w:bidi/>
        <w:spacing w:line="360"/>
      </w:pPr>
    </w:p>
    <w:tbl>
      <w:tblPr>
        <w:bidiVisual/>
        <w:tblW w:type="dxa" w:w="829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200"/>
        <w:gridCol w:w="2196"/>
      </w:tblGrid>
      <w:tr>
        <w:trPr>
          <w:tblHeader/>
        </w:trPr>
        <w:tc>
          <w:tcPr>
            <w:tcW w:type="dxa" w:w="1500"/>
            <w:shd w:fill="E8E8E8" w:val="clear"/>
          </w:tcPr>
          <w:p>
            <w:pPr>
              <w:bidi/>
              <w:spacing w:line="276"/>
              <w:jc w:val="center"/>
            </w:pPr>
            <w:r>
              <w:rPr>
                <w:b/>
                <w:bCs/>
              </w:rPr>
              <w:t xml:space="preserve">מפגש</w:t>
            </w:r>
          </w:p>
        </w:tc>
        <w:tc>
          <w:tcPr>
            <w:tcW w:type="dxa" w:w="2400"/>
            <w:shd w:fill="E8E8E8" w:val="clear"/>
          </w:tcPr>
          <w:p>
            <w:pPr>
              <w:bidi/>
              <w:spacing w:line="276"/>
              <w:jc w:val="center"/>
            </w:pPr>
            <w:r>
              <w:rPr>
                <w:b/>
                <w:bCs/>
              </w:rPr>
              <w:t xml:space="preserve">סגנון מוזיקלי</w:t>
            </w:r>
          </w:p>
        </w:tc>
        <w:tc>
          <w:tcPr>
            <w:tcW w:type="dxa" w:w="2200"/>
            <w:shd w:fill="E8E8E8" w:val="clear"/>
          </w:tcPr>
          <w:p>
            <w:pPr>
              <w:bidi/>
              <w:spacing w:line="276"/>
              <w:jc w:val="center"/>
            </w:pPr>
            <w:r>
              <w:rPr>
                <w:b/>
                <w:bCs/>
              </w:rPr>
              <w:t xml:space="preserve">סוג האזנה</w:t>
            </w:r>
          </w:p>
        </w:tc>
        <w:tc>
          <w:tcPr>
            <w:tcW w:type="dxa" w:w="2196"/>
            <w:shd w:fill="E8E8E8" w:val="clear"/>
          </w:tcPr>
          <w:p>
            <w:pPr>
              <w:bidi/>
              <w:spacing w:line="276"/>
              <w:jc w:val="center"/>
            </w:pPr>
            <w:r>
              <w:rPr>
                <w:b/>
                <w:bCs/>
              </w:rPr>
              <w:t xml:space="preserve">מוקד התצפית</w:t>
            </w:r>
          </w:p>
        </w:tc>
      </w:tr>
      <w:tr>
        <w:trPr>
          <w:tblHeader w:val="false"/>
        </w:trPr>
        <w:tc>
          <w:tcPr>
            <w:tcW w:type="dxa" w:w="1500"/>
          </w:tcPr>
          <w:p>
            <w:pPr>
              <w:bidi/>
              <w:spacing w:line="276"/>
              <w:jc w:val="right"/>
            </w:pPr>
            <w:r>
              <w:rPr>
                <w:b w:val="false"/>
                <w:bCs w:val="false"/>
              </w:rPr>
              <w:t xml:space="preserve">1-2</w:t>
            </w:r>
          </w:p>
        </w:tc>
        <w:tc>
          <w:tcPr>
            <w:tcW w:type="dxa" w:w="2400"/>
          </w:tcPr>
          <w:p>
            <w:pPr>
              <w:bidi/>
              <w:spacing w:line="276"/>
              <w:jc w:val="right"/>
            </w:pPr>
            <w:r>
              <w:rPr>
                <w:b w:val="false"/>
                <w:bCs w:val="false"/>
              </w:rPr>
              <w:t xml:space="preserve">קצבי (היפ-הופ)</w:t>
            </w:r>
          </w:p>
        </w:tc>
        <w:tc>
          <w:tcPr>
            <w:tcW w:type="dxa" w:w="2200"/>
          </w:tcPr>
          <w:p>
            <w:pPr>
              <w:bidi/>
              <w:spacing w:line="276"/>
              <w:jc w:val="right"/>
            </w:pPr>
            <w:r>
              <w:rPr>
                <w:b w:val="false"/>
                <w:bCs w:val="false"/>
              </w:rPr>
              <w:t xml:space="preserve">ראשונה וחוזרת</w:t>
            </w:r>
          </w:p>
        </w:tc>
        <w:tc>
          <w:tcPr>
            <w:tcW w:type="dxa" w:w="2196"/>
          </w:tcPr>
          <w:p>
            <w:pPr>
              <w:bidi/>
              <w:spacing w:line="276"/>
              <w:jc w:val="right"/>
            </w:pPr>
            <w:r>
              <w:rPr>
                <w:b w:val="false"/>
                <w:bCs w:val="false"/>
              </w:rPr>
              <w:t xml:space="preserve">עוררות, קצב, מעברים</w:t>
            </w:r>
          </w:p>
        </w:tc>
      </w:tr>
      <w:tr>
        <w:trPr>
          <w:tblHeader w:val="false"/>
        </w:trPr>
        <w:tc>
          <w:tcPr>
            <w:tcW w:type="dxa" w:w="1500"/>
          </w:tcPr>
          <w:p>
            <w:pPr>
              <w:bidi/>
              <w:spacing w:line="276"/>
              <w:jc w:val="right"/>
            </w:pPr>
            <w:r>
              <w:rPr>
                <w:b w:val="false"/>
                <w:bCs w:val="false"/>
              </w:rPr>
              <w:t xml:space="preserve">3-4</w:t>
            </w:r>
          </w:p>
        </w:tc>
        <w:tc>
          <w:tcPr>
            <w:tcW w:type="dxa" w:w="2400"/>
          </w:tcPr>
          <w:p>
            <w:pPr>
              <w:bidi/>
              <w:spacing w:line="276"/>
              <w:jc w:val="right"/>
            </w:pPr>
            <w:r>
              <w:rPr>
                <w:b w:val="false"/>
                <w:bCs w:val="false"/>
              </w:rPr>
              <w:t xml:space="preserve">קלאסי איטי</w:t>
            </w:r>
          </w:p>
        </w:tc>
        <w:tc>
          <w:tcPr>
            <w:tcW w:type="dxa" w:w="2200"/>
          </w:tcPr>
          <w:p>
            <w:pPr>
              <w:bidi/>
              <w:spacing w:line="276"/>
              <w:jc w:val="right"/>
            </w:pPr>
            <w:r>
              <w:rPr>
                <w:b w:val="false"/>
                <w:bCs w:val="false"/>
              </w:rPr>
              <w:t xml:space="preserve">ראשונה וחוזרת</w:t>
            </w:r>
          </w:p>
        </w:tc>
        <w:tc>
          <w:tcPr>
            <w:tcW w:type="dxa" w:w="2196"/>
          </w:tcPr>
          <w:p>
            <w:pPr>
              <w:bidi/>
              <w:spacing w:line="276"/>
              <w:jc w:val="right"/>
            </w:pPr>
            <w:r>
              <w:rPr>
                <w:b w:val="false"/>
                <w:bCs w:val="false"/>
              </w:rPr>
              <w:t xml:space="preserve">הרגעה, זרימה, רצף</w:t>
            </w:r>
          </w:p>
        </w:tc>
      </w:tr>
      <w:tr>
        <w:trPr>
          <w:tblHeader w:val="false"/>
        </w:trPr>
        <w:tc>
          <w:tcPr>
            <w:tcW w:type="dxa" w:w="1500"/>
          </w:tcPr>
          <w:p>
            <w:pPr>
              <w:bidi/>
              <w:spacing w:line="276"/>
              <w:jc w:val="right"/>
            </w:pPr>
            <w:r>
              <w:rPr>
                <w:b w:val="false"/>
                <w:bCs w:val="false"/>
              </w:rPr>
              <w:t xml:space="preserve">5-6</w:t>
            </w:r>
          </w:p>
        </w:tc>
        <w:tc>
          <w:tcPr>
            <w:tcW w:type="dxa" w:w="2400"/>
          </w:tcPr>
          <w:p>
            <w:pPr>
              <w:bidi/>
              <w:spacing w:line="276"/>
              <w:jc w:val="right"/>
            </w:pPr>
            <w:r>
              <w:rPr>
                <w:b w:val="false"/>
                <w:bCs w:val="false"/>
              </w:rPr>
              <w:t xml:space="preserve">אירי</w:t>
            </w:r>
          </w:p>
        </w:tc>
        <w:tc>
          <w:tcPr>
            <w:tcW w:type="dxa" w:w="2200"/>
          </w:tcPr>
          <w:p>
            <w:pPr>
              <w:bidi/>
              <w:spacing w:line="276"/>
              <w:jc w:val="right"/>
            </w:pPr>
            <w:r>
              <w:rPr>
                <w:b w:val="false"/>
                <w:bCs w:val="false"/>
              </w:rPr>
              <w:t xml:space="preserve">ראשונה וחוזרת</w:t>
            </w:r>
          </w:p>
        </w:tc>
        <w:tc>
          <w:tcPr>
            <w:tcW w:type="dxa" w:w="2196"/>
          </w:tcPr>
          <w:p>
            <w:pPr>
              <w:bidi/>
              <w:spacing w:line="276"/>
              <w:jc w:val="right"/>
            </w:pPr>
            <w:r>
              <w:rPr>
                <w:b w:val="false"/>
                <w:bCs w:val="false"/>
              </w:rPr>
              <w:t xml:space="preserve">מעברי עוררות, ארגון</w:t>
            </w:r>
          </w:p>
        </w:tc>
      </w:tr>
      <w:tr>
        <w:trPr>
          <w:tblHeader w:val="false"/>
        </w:trPr>
        <w:tc>
          <w:tcPr>
            <w:tcW w:type="dxa" w:w="1500"/>
          </w:tcPr>
          <w:p>
            <w:pPr>
              <w:bidi/>
              <w:spacing w:line="276"/>
              <w:jc w:val="right"/>
            </w:pPr>
            <w:r>
              <w:rPr>
                <w:b w:val="false"/>
                <w:bCs w:val="false"/>
              </w:rPr>
              <w:t xml:space="preserve">7-8</w:t>
            </w:r>
          </w:p>
        </w:tc>
        <w:tc>
          <w:tcPr>
            <w:tcW w:type="dxa" w:w="2400"/>
          </w:tcPr>
          <w:p>
            <w:pPr>
              <w:bidi/>
              <w:spacing w:line="276"/>
              <w:jc w:val="right"/>
            </w:pPr>
            <w:r>
              <w:rPr>
                <w:b w:val="false"/>
                <w:bCs w:val="false"/>
              </w:rPr>
              <w:t xml:space="preserve">רוק</w:t>
            </w:r>
          </w:p>
        </w:tc>
        <w:tc>
          <w:tcPr>
            <w:tcW w:type="dxa" w:w="2200"/>
          </w:tcPr>
          <w:p>
            <w:pPr>
              <w:bidi/>
              <w:spacing w:line="276"/>
              <w:jc w:val="right"/>
            </w:pPr>
            <w:r>
              <w:rPr>
                <w:b w:val="false"/>
                <w:bCs w:val="false"/>
              </w:rPr>
              <w:t xml:space="preserve">ראשונה וחוזרת</w:t>
            </w:r>
          </w:p>
        </w:tc>
        <w:tc>
          <w:tcPr>
            <w:tcW w:type="dxa" w:w="2196"/>
          </w:tcPr>
          <w:p>
            <w:pPr>
              <w:bidi/>
              <w:spacing w:line="276"/>
              <w:jc w:val="right"/>
            </w:pPr>
            <w:r>
              <w:rPr>
                <w:b w:val="false"/>
                <w:bCs w:val="false"/>
              </w:rPr>
              <w:t xml:space="preserve">עוצמה, שחרור, ויסות</w:t>
            </w:r>
          </w:p>
        </w:tc>
      </w:tr>
    </w:tbl>
    <w:p>
      <w:pPr>
        <w:pStyle w:val="Heading2"/>
        <w:bidi/>
        <w:spacing w:after="100" w:before="200" w:line="360"/>
        <w:jc w:val="right"/>
      </w:pPr>
      <w:r>
        <w:t xml:space="preserve">3.6 אתיקה</w:t>
      </w:r>
    </w:p>
    <w:p>
      <w:pPr>
        <w:bidi/>
        <w:spacing w:after="120" w:before="0" w:line="360"/>
        <w:jc w:val="both"/>
      </w:pPr>
      <w:r>
        <w:t xml:space="preserve">המחקר בוצע תוך הקפדה על כללי האתיקה. התקבלה הסכמה מדעת של ההורים להשתתפות ילדיהם ולצילום, נשמרה פרטיות מלאה באמצעות השמטת פרטים מזהים, וחומרי הצילום שימשו לצורכי המחקר בלבד ונשמרו באופן מאובטח. ההשתתפות הייתה מרצון וללא כפייה, והילדים יכלו להפסיק בכל שלב.</w:t>
      </w:r>
    </w:p>
    <w:p>
      <w:pPr>
        <w:pStyle w:val="Heading1"/>
        <w:pageBreakBefore/>
        <w:bidi/>
        <w:spacing w:after="120" w:before="240" w:line="360"/>
        <w:jc w:val="right"/>
      </w:pPr>
      <w:r>
        <w:t xml:space="preserve">4. ממצאים</w:t>
      </w:r>
    </w:p>
    <w:p>
      <w:pPr>
        <w:bidi/>
        <w:spacing w:after="120" w:before="0" w:line="360"/>
        <w:jc w:val="both"/>
      </w:pPr>
      <w:r>
        <w:t xml:space="preserve">להלן הצגה מאורגנת של הממצאים לפי קטגוריות שעלו מן התצפיות ומיומן החוקר. הקטגוריות מתמקדות בסימני ויסות רגשי בתוך התנועה החופשית. (זהו חלק לדוגמה, שיש להשלימו בנתונים האמיתיים שייאספו בשדה.)</w:t>
      </w:r>
    </w:p>
    <w:p>
      <w:pPr>
        <w:pStyle w:val="Heading2"/>
        <w:bidi/>
        <w:spacing w:after="100" w:before="200" w:line="360"/>
        <w:jc w:val="right"/>
      </w:pPr>
      <w:r>
        <w:t xml:space="preserve">4.1 מעברים בין עוררות לרגיעה</w:t>
      </w:r>
    </w:p>
    <w:p>
      <w:pPr>
        <w:bidi/>
        <w:spacing w:after="120" w:before="0" w:line="360"/>
        <w:jc w:val="both"/>
      </w:pPr>
      <w:r>
        <w:t xml:space="preserve">בקטעים הקצביים נצפתה עלייה מהירה בעוררות, שהתבטאה בקפיצות, בתנועות רחבות ובקצב גבוה. בקטעים האיטיים ניכר מעבר לרגיעה, עם תנועות זורמות ואיטיות יותר. היכולת לעבור בין המצבים בהתאם למוזיקה נקראה כאן כביטוי מוקדם של ויסות, שכן הילד התאים את עוצמת גופו לאופי הצליל.</w:t>
      </w:r>
    </w:p>
    <w:p>
      <w:pPr>
        <w:pStyle w:val="Heading2"/>
        <w:bidi/>
        <w:spacing w:after="100" w:before="200" w:line="360"/>
        <w:jc w:val="right"/>
      </w:pPr>
      <w:r>
        <w:t xml:space="preserve">4.2 תנועות הרגעה והתארגנות עצמית</w:t>
      </w:r>
    </w:p>
    <w:p>
      <w:pPr>
        <w:bidi/>
        <w:spacing w:after="120" w:before="0" w:line="360"/>
        <w:jc w:val="both"/>
      </w:pPr>
      <w:r>
        <w:t xml:space="preserve">במעברים בין קטעים או ברגעים של עומס נצפו תנועות חוזרות ומרגיעות, כמו נדנוד עדין מצד לצד או עצירות קצרות להקשבה. תנועות אלה תפקדו ככלי התארגנות שאִפשר לילד למצוא מחדש את הקצב ולחזור אל התנועה.</w:t>
      </w:r>
    </w:p>
    <w:p>
      <w:pPr>
        <w:pStyle w:val="Heading2"/>
        <w:bidi/>
        <w:spacing w:after="100" w:before="200" w:line="360"/>
        <w:jc w:val="right"/>
      </w:pPr>
      <w:r>
        <w:t xml:space="preserve">4.3 מעורבות רגשית והבעות פנים</w:t>
      </w:r>
    </w:p>
    <w:p>
      <w:pPr>
        <w:bidi/>
        <w:spacing w:after="120" w:before="0" w:line="360"/>
        <w:jc w:val="both"/>
      </w:pPr>
      <w:r>
        <w:t xml:space="preserve">הבעות הפנים ליוו את התנועה ושיקפו את החוויה הרגשית. נצפו חיוכים, ריכוז ולעיתים מבוכה ראשונית שהתחלפה בביטחון ככל שהתקדם המפגש. המעורבות הרגשית הייתה ניכרת יותר בקטעים המוכרים.</w:t>
      </w:r>
    </w:p>
    <w:p>
      <w:pPr>
        <w:pStyle w:val="Heading2"/>
        <w:bidi/>
        <w:spacing w:after="100" w:before="200" w:line="360"/>
        <w:jc w:val="right"/>
      </w:pPr>
      <w:r>
        <w:t xml:space="preserve">4.4 שינוי בין האזנה ראשונה לחוזרת</w:t>
      </w:r>
    </w:p>
    <w:p>
      <w:pPr>
        <w:bidi/>
        <w:spacing w:after="120" w:before="0" w:line="360"/>
        <w:jc w:val="both"/>
      </w:pPr>
      <w:r>
        <w:t xml:space="preserve">בהאזנה החוזרת נצפתה כניסה מהירה ובטוחה יותר לתנועה, לצד גיוון רב יותר. ההיכרות עם הקטע אפשרה לילד פחות לעסוק בזיהוי הקצב ויותר בביטוי אישי, ולעיתים בהרחבת התנועה במרחב.</w:t>
      </w:r>
    </w:p>
    <w:p>
      <w:pPr>
        <w:pStyle w:val="Heading2"/>
        <w:bidi/>
        <w:spacing w:after="100" w:before="200" w:line="360"/>
        <w:jc w:val="right"/>
      </w:pPr>
      <w:r>
        <w:t xml:space="preserve">4.5 סיכום הממצאים</w:t>
      </w:r>
    </w:p>
    <w:p>
      <w:pPr>
        <w:bidi/>
        <w:spacing w:after="120" w:before="0" w:line="360"/>
        <w:jc w:val="both"/>
      </w:pPr>
      <w:r>
        <w:t xml:space="preserve">התמונה העולה מן הממצאים היא שהתנועה החופשית שימשה את הילדים כערוץ לוויסות ולביטוי. סגנון המוזיקלי השפיע על עוצמת התנועה ואופייה, וההאזנה החוזרת חיזקה את הביטחון ואת הגיוון. הטבלה שלהלן מרכזת את סימני הוויסות שנצפו לפי סוג הקטע.</w:t>
      </w:r>
    </w:p>
    <w:p>
      <w:pPr>
        <w:bidi/>
        <w:spacing w:line="360"/>
      </w:pPr>
    </w:p>
    <w:tbl>
      <w:tblPr>
        <w:bidiVisual/>
        <w:tblW w:type="dxa" w:w="8296"/>
        <w:tblBorders>
          <w:top w:val="single" w:color="auto" w:sz="4"/>
          <w:left w:val="single" w:color="auto" w:sz="4"/>
          <w:bottom w:val="single" w:color="auto" w:sz="4"/>
          <w:right w:val="single" w:color="auto" w:sz="4"/>
          <w:insideH w:val="single" w:color="auto" w:sz="4"/>
          <w:insideV w:val="single" w:color="auto" w:sz="4"/>
        </w:tblBorders>
      </w:tblPr>
      <w:tblGrid>
        <w:gridCol w:w="2800"/>
        <w:gridCol w:w="2748"/>
        <w:gridCol w:w="2748"/>
      </w:tblGrid>
      <w:tr>
        <w:trPr>
          <w:tblHeader/>
        </w:trPr>
        <w:tc>
          <w:tcPr>
            <w:tcW w:type="dxa" w:w="2800"/>
            <w:shd w:fill="E8E8E8" w:val="clear"/>
          </w:tcPr>
          <w:p>
            <w:pPr>
              <w:bidi/>
              <w:spacing w:line="276"/>
              <w:jc w:val="center"/>
            </w:pPr>
            <w:r>
              <w:rPr>
                <w:b/>
                <w:bCs/>
              </w:rPr>
              <w:t xml:space="preserve">סימן ויסות שנצפה</w:t>
            </w:r>
          </w:p>
        </w:tc>
        <w:tc>
          <w:tcPr>
            <w:tcW w:type="dxa" w:w="2748"/>
            <w:shd w:fill="E8E8E8" w:val="clear"/>
          </w:tcPr>
          <w:p>
            <w:pPr>
              <w:bidi/>
              <w:spacing w:line="276"/>
              <w:jc w:val="center"/>
            </w:pPr>
            <w:r>
              <w:rPr>
                <w:b/>
                <w:bCs/>
              </w:rPr>
              <w:t xml:space="preserve">קטעים קצביים</w:t>
            </w:r>
          </w:p>
        </w:tc>
        <w:tc>
          <w:tcPr>
            <w:tcW w:type="dxa" w:w="2748"/>
            <w:shd w:fill="E8E8E8" w:val="clear"/>
          </w:tcPr>
          <w:p>
            <w:pPr>
              <w:bidi/>
              <w:spacing w:line="276"/>
              <w:jc w:val="center"/>
            </w:pPr>
            <w:r>
              <w:rPr>
                <w:b/>
                <w:bCs/>
              </w:rPr>
              <w:t xml:space="preserve">קטעים איטיים</w:t>
            </w:r>
          </w:p>
        </w:tc>
      </w:tr>
      <w:tr>
        <w:trPr>
          <w:tblHeader w:val="false"/>
        </w:trPr>
        <w:tc>
          <w:tcPr>
            <w:tcW w:type="dxa" w:w="2800"/>
          </w:tcPr>
          <w:p>
            <w:pPr>
              <w:bidi/>
              <w:spacing w:line="276"/>
              <w:jc w:val="right"/>
            </w:pPr>
            <w:r>
              <w:rPr>
                <w:b w:val="false"/>
                <w:bCs w:val="false"/>
              </w:rPr>
              <w:t xml:space="preserve">עוצמת תנועה</w:t>
            </w:r>
          </w:p>
        </w:tc>
        <w:tc>
          <w:tcPr>
            <w:tcW w:type="dxa" w:w="2748"/>
          </w:tcPr>
          <w:p>
            <w:pPr>
              <w:bidi/>
              <w:spacing w:line="276"/>
              <w:jc w:val="right"/>
            </w:pPr>
            <w:r>
              <w:rPr>
                <w:b w:val="false"/>
                <w:bCs w:val="false"/>
              </w:rPr>
              <w:t xml:space="preserve">גבוהה, קפיצות ותנועות רחבות</w:t>
            </w:r>
          </w:p>
        </w:tc>
        <w:tc>
          <w:tcPr>
            <w:tcW w:type="dxa" w:w="2748"/>
          </w:tcPr>
          <w:p>
            <w:pPr>
              <w:bidi/>
              <w:spacing w:line="276"/>
              <w:jc w:val="right"/>
            </w:pPr>
            <w:r>
              <w:rPr>
                <w:b w:val="false"/>
                <w:bCs w:val="false"/>
              </w:rPr>
              <w:t xml:space="preserve">נמוכה, תנועות זורמות</w:t>
            </w:r>
          </w:p>
        </w:tc>
      </w:tr>
      <w:tr>
        <w:trPr>
          <w:tblHeader w:val="false"/>
        </w:trPr>
        <w:tc>
          <w:tcPr>
            <w:tcW w:type="dxa" w:w="2800"/>
          </w:tcPr>
          <w:p>
            <w:pPr>
              <w:bidi/>
              <w:spacing w:line="276"/>
              <w:jc w:val="right"/>
            </w:pPr>
            <w:r>
              <w:rPr>
                <w:b w:val="false"/>
                <w:bCs w:val="false"/>
              </w:rPr>
              <w:t xml:space="preserve">תנועות הרגעה</w:t>
            </w:r>
          </w:p>
        </w:tc>
        <w:tc>
          <w:tcPr>
            <w:tcW w:type="dxa" w:w="2748"/>
          </w:tcPr>
          <w:p>
            <w:pPr>
              <w:bidi/>
              <w:spacing w:line="276"/>
              <w:jc w:val="right"/>
            </w:pPr>
            <w:r>
              <w:rPr>
                <w:b w:val="false"/>
                <w:bCs w:val="false"/>
              </w:rPr>
              <w:t xml:space="preserve">עצירות קצרות בין רצפים</w:t>
            </w:r>
          </w:p>
        </w:tc>
        <w:tc>
          <w:tcPr>
            <w:tcW w:type="dxa" w:w="2748"/>
          </w:tcPr>
          <w:p>
            <w:pPr>
              <w:bidi/>
              <w:spacing w:line="276"/>
              <w:jc w:val="right"/>
            </w:pPr>
            <w:r>
              <w:rPr>
                <w:b w:val="false"/>
                <w:bCs w:val="false"/>
              </w:rPr>
              <w:t xml:space="preserve">נדנוד עדין מתמשך</w:t>
            </w:r>
          </w:p>
        </w:tc>
      </w:tr>
      <w:tr>
        <w:trPr>
          <w:tblHeader w:val="false"/>
        </w:trPr>
        <w:tc>
          <w:tcPr>
            <w:tcW w:type="dxa" w:w="2800"/>
          </w:tcPr>
          <w:p>
            <w:pPr>
              <w:bidi/>
              <w:spacing w:line="276"/>
              <w:jc w:val="right"/>
            </w:pPr>
            <w:r>
              <w:rPr>
                <w:b w:val="false"/>
                <w:bCs w:val="false"/>
              </w:rPr>
              <w:t xml:space="preserve">הבעה רגשית</w:t>
            </w:r>
          </w:p>
        </w:tc>
        <w:tc>
          <w:tcPr>
            <w:tcW w:type="dxa" w:w="2748"/>
          </w:tcPr>
          <w:p>
            <w:pPr>
              <w:bidi/>
              <w:spacing w:line="276"/>
              <w:jc w:val="right"/>
            </w:pPr>
            <w:r>
              <w:rPr>
                <w:b w:val="false"/>
                <w:bCs w:val="false"/>
              </w:rPr>
              <w:t xml:space="preserve">התרגשות וחיוך</w:t>
            </w:r>
          </w:p>
        </w:tc>
        <w:tc>
          <w:tcPr>
            <w:tcW w:type="dxa" w:w="2748"/>
          </w:tcPr>
          <w:p>
            <w:pPr>
              <w:bidi/>
              <w:spacing w:line="276"/>
              <w:jc w:val="right"/>
            </w:pPr>
            <w:r>
              <w:rPr>
                <w:b w:val="false"/>
                <w:bCs w:val="false"/>
              </w:rPr>
              <w:t xml:space="preserve">ריכוז ורוגע</w:t>
            </w:r>
          </w:p>
        </w:tc>
      </w:tr>
      <w:tr>
        <w:trPr>
          <w:tblHeader w:val="false"/>
        </w:trPr>
        <w:tc>
          <w:tcPr>
            <w:tcW w:type="dxa" w:w="2800"/>
          </w:tcPr>
          <w:p>
            <w:pPr>
              <w:bidi/>
              <w:spacing w:line="276"/>
              <w:jc w:val="right"/>
            </w:pPr>
            <w:r>
              <w:rPr>
                <w:b w:val="false"/>
                <w:bCs w:val="false"/>
              </w:rPr>
              <w:t xml:space="preserve">שינוי בהאזנה חוזרת</w:t>
            </w:r>
          </w:p>
        </w:tc>
        <w:tc>
          <w:tcPr>
            <w:tcW w:type="dxa" w:w="2748"/>
          </w:tcPr>
          <w:p>
            <w:pPr>
              <w:bidi/>
              <w:spacing w:line="276"/>
              <w:jc w:val="right"/>
            </w:pPr>
            <w:r>
              <w:rPr>
                <w:b w:val="false"/>
                <w:bCs w:val="false"/>
              </w:rPr>
              <w:t xml:space="preserve">כניסה מהירה וגיוון</w:t>
            </w:r>
          </w:p>
        </w:tc>
        <w:tc>
          <w:tcPr>
            <w:tcW w:type="dxa" w:w="2748"/>
          </w:tcPr>
          <w:p>
            <w:pPr>
              <w:bidi/>
              <w:spacing w:line="276"/>
              <w:jc w:val="right"/>
            </w:pPr>
            <w:r>
              <w:rPr>
                <w:b w:val="false"/>
                <w:bCs w:val="false"/>
              </w:rPr>
              <w:t xml:space="preserve">העמקה והרחבת התנועה</w:t>
            </w:r>
          </w:p>
        </w:tc>
      </w:tr>
    </w:tbl>
    <w:p>
      <w:pPr>
        <w:pStyle w:val="Heading1"/>
        <w:pageBreakBefore/>
        <w:bidi/>
        <w:spacing w:after="120" w:before="240" w:line="360"/>
        <w:jc w:val="right"/>
      </w:pPr>
      <w:r>
        <w:t xml:space="preserve">5. דיון ומסקנות</w:t>
      </w:r>
    </w:p>
    <w:p>
      <w:pPr>
        <w:bidi/>
        <w:spacing w:after="120" w:before="0" w:line="360"/>
        <w:jc w:val="both"/>
      </w:pPr>
      <w:r>
        <w:t xml:space="preserve">מטרת המחקר הייתה לבחון כיצד תנועה חופשית למוזיקה קשורה לוויסות רגשי בגיל הרך. הממצאים, ולו במתכונת לדוגמה, מצביעים על כך שילדים מתאימים את גופם לאופי הצליל, נעזרים בתנועות חוזרות להתארגנות, ומביעים רגש דרך הפנים והגוף. תמונה זו עולה בקנה אחד עם התפיסה שהגוף הוא ערוץ מרכזי של עיבוד וביטוי רגשי בגיל הרך (כהן, 2016; Sena Moore et al., 2025).</w:t>
      </w:r>
    </w:p>
    <w:p>
      <w:pPr>
        <w:bidi/>
        <w:spacing w:after="120" w:before="0" w:line="360"/>
        <w:jc w:val="both"/>
      </w:pPr>
      <w:r>
        <w:t xml:space="preserve">ההבדל בין הקטעים הקצביים לאיטיים תואם מחקרים שמצאו כי מאפייני המוזיקה מעצבים את התגובה התנועתית, וכי אפשר לחזק ויסות רגשי באמצעות פעילות מבוססת קצב ותנועה (Williams et al., 2023; Savina, 2025). השינוי בין האזנה ראשונה לחוזרת מתכתב עם הרעיון שחוויית ההאזנה מתפתחת עם ההיכרות, ומאפשרת ביטוי בטוח ומגוון יותר.</w:t>
      </w:r>
    </w:p>
    <w:p>
      <w:pPr>
        <w:pStyle w:val="Heading2"/>
        <w:bidi/>
        <w:spacing w:after="100" w:before="200" w:line="360"/>
        <w:jc w:val="right"/>
      </w:pPr>
      <w:r>
        <w:t xml:space="preserve">5.1 מסקנות והמלצות ליישום</w:t>
      </w:r>
    </w:p>
    <w:p>
      <w:pPr>
        <w:bidi/>
        <w:spacing w:after="120" w:before="0" w:line="360"/>
        <w:jc w:val="both"/>
      </w:pPr>
      <w:r>
        <w:t xml:space="preserve">מן המחקר עולה כי שילוב של האזנה ותנועה חופשית בגן יכול לשמש כלי פשוט לתמיכה בוויסות רגשי ובביטוי עצמי. מומלץ לחשוף ילדים לסגנונות מוזיקליים מגוונים, לאפשר האזנה חוזרת לאותו קטע, ולהתבונן בתנועה כמקור מידע על החוויה הרגשית של הילד גם כשאינו מבטא אותה במילים.</w:t>
      </w:r>
    </w:p>
    <w:p>
      <w:pPr>
        <w:pStyle w:val="Heading2"/>
        <w:bidi/>
        <w:spacing w:after="100" w:before="200" w:line="360"/>
        <w:jc w:val="right"/>
      </w:pPr>
      <w:r>
        <w:t xml:space="preserve">5.2 מגבלות והמלצות למחקר עתידי</w:t>
      </w:r>
    </w:p>
    <w:p>
      <w:pPr>
        <w:bidi/>
        <w:spacing w:after="120" w:before="0" w:line="360"/>
        <w:jc w:val="both"/>
      </w:pPr>
      <w:r>
        <w:t xml:space="preserve">למחקר מגבלות. מספר המשתתפים מצומצם, ולכן אין להכליל ממנו. התצפית נערכה בידי חוקרת יחידה, מה שעלול להשפיע על האובייקטיביות. במחקר עתידי מומלץ להרחיב את מספר המשתתפים, לשלב מנתחים נוספים לתיעוד, ולבחון מדדים פיזיולוגיים של עוררות לצד התצפית ההתנהגותית.</w:t>
      </w:r>
    </w:p>
    <w:p>
      <w:pPr>
        <w:pStyle w:val="Heading1"/>
        <w:pageBreakBefore/>
        <w:bidi/>
        <w:spacing w:after="120" w:before="240" w:line="360"/>
        <w:jc w:val="right"/>
      </w:pPr>
      <w:r>
        <w:t xml:space="preserve">6. סיכום</w:t>
      </w:r>
    </w:p>
    <w:p>
      <w:pPr>
        <w:bidi/>
        <w:spacing w:after="120" w:before="0" w:line="360"/>
        <w:jc w:val="both"/>
      </w:pPr>
      <w:r>
        <w:t xml:space="preserve">המחקר בחן את הקשר בין תנועה חופשית למוזיקה לבין ויסות רגשי בגיל הרך. עלה כי הסגנון המוזיקלי קשור לעוצמת התנועה ולאופייה, כי ילדים נעזרים בתנועה כדי לווסת ולהביע רגש, וכי האזנה חוזרת מחזקת ביטחון וגיוון. תרומתו המרכזית של המחקר היא בהצבעה על תנועה חופשית למוזיקה ככלי חינוכי זמין לתמיכה בוויסות רגשי ובתקשורת בלתי מילולית בגן.</w:t>
      </w:r>
    </w:p>
    <w:p>
      <w:pPr>
        <w:pStyle w:val="Heading1"/>
        <w:pageBreakBefore/>
        <w:bidi/>
        <w:spacing w:after="120" w:before="240" w:line="360"/>
        <w:jc w:val="right"/>
      </w:pPr>
      <w:r>
        <w:t xml:space="preserve">רשימת מקורות</w:t>
      </w:r>
    </w:p>
    <w:p>
      <w:pPr>
        <w:bidi/>
        <w:spacing w:after="80" w:before="0" w:line="360"/>
        <w:jc w:val="both"/>
      </w:pPr>
      <w:r>
        <w:rPr>
          <w:b/>
          <w:bCs/>
        </w:rPr>
        <w:t xml:space="preserve">מקורות בעברית</w:t>
      </w:r>
    </w:p>
    <w:p>
      <w:pPr>
        <w:bidi/>
        <w:spacing w:after="120" w:line="360"/>
        <w:ind w:hanging="340"/>
        <w:jc w:val="both"/>
      </w:pPr>
      <w:r>
        <w:t xml:space="preserve">כהן, ד' (2016). תגובות תנועתיות של ילדים בעת האזנה למוזיקה כייצוג לתפיסתם המוזיקלית. חוקרים @ הגיל הרך, 5, 52-56.</w:t>
      </w:r>
    </w:p>
    <w:p>
      <w:pPr>
        <w:bidi/>
        <w:spacing w:after="120" w:line="360"/>
        <w:ind w:hanging="340"/>
        <w:jc w:val="both"/>
      </w:pPr>
      <w:r>
        <w:t xml:space="preserve">סולקין, ע', מאיר, ת', וניקריטין, ח' (2022). בחירת הרפרטואר המוזיקלי בגני הילדים במגזרים השונים בחברה הישראלית. חוקרים @ הגיל הרך, 22.</w:t>
      </w:r>
    </w:p>
    <w:p>
      <w:pPr>
        <w:bidi/>
        <w:spacing w:after="120" w:line="360"/>
        <w:ind w:hanging="340"/>
        <w:jc w:val="both"/>
      </w:pPr>
      <w:r>
        <w:t xml:space="preserve">ענבר, ע' (2022). אופוס מס' 1 בהשראת סבדיני: התפתחות קולית, תקשורת ומוזיקליות בינקות. חוקרים @ הגיל הרך, 22.</w:t>
      </w:r>
    </w:p>
    <w:p>
      <w:pPr>
        <w:bidi/>
        <w:spacing w:after="80" w:before="120" w:line="360"/>
        <w:jc w:val="both"/>
      </w:pPr>
      <w:r>
        <w:rPr>
          <w:b/>
          <w:bCs/>
        </w:rPr>
        <w:t xml:space="preserve">מקורות באנגלית</w:t>
      </w:r>
    </w:p>
    <w:p>
      <w:pPr>
        <w:bidi/>
        <w:spacing w:after="120" w:line="360"/>
        <w:ind w:hanging="340"/>
        <w:jc w:val="both"/>
      </w:pPr>
      <w:r>
        <w:t xml:space="preserve">Brown, E. D., Blumenthal, M. A., &amp; Allen, A. A. (2022). The sound of self-regulation: Music program relates to an advantage for children at risk. Early Childhood Research Quarterly, 60, 126-136.</w:t>
      </w:r>
    </w:p>
    <w:p>
      <w:pPr>
        <w:bidi/>
        <w:spacing w:after="120" w:line="360"/>
        <w:ind w:hanging="340"/>
        <w:jc w:val="both"/>
      </w:pPr>
      <w:r>
        <w:t xml:space="preserve">Cetin, Z., &amp; Cevikbas, P. E. (2020). Using creative dance for expressing emotions in preschool children. Research in Dance Education, 21(3), 328-337.</w:t>
      </w:r>
    </w:p>
    <w:p>
      <w:pPr>
        <w:bidi/>
        <w:spacing w:after="120" w:line="360"/>
        <w:ind w:hanging="340"/>
        <w:jc w:val="both"/>
      </w:pPr>
      <w:r>
        <w:t xml:space="preserve">Diebold, T., Jaggy, A.-K., &amp; Perren, S. (2025). Socialisation of emotion regulation in preschool classrooms: How do peers matter? Infant and Child Development, 34, e2566.</w:t>
      </w:r>
    </w:p>
    <w:p>
      <w:pPr>
        <w:bidi/>
        <w:spacing w:after="120" w:line="360"/>
        <w:ind w:hanging="340"/>
        <w:jc w:val="both"/>
      </w:pPr>
      <w:r>
        <w:t xml:space="preserve">Lu, X., &amp; Song, S. (2025). Music-based emotion regulation: A bibliometric systematic review (2000-2024). Frontiers in Psychology, 16, 1565614.</w:t>
      </w:r>
    </w:p>
    <w:p>
      <w:pPr>
        <w:bidi/>
        <w:spacing w:after="120" w:line="360"/>
        <w:ind w:hanging="340"/>
        <w:jc w:val="both"/>
      </w:pPr>
      <w:r>
        <w:t xml:space="preserve">Moula, Z., Powell, J., Brocklehurst, S., &amp; Karkou, V. (2022). Feasibility, acceptability, and effectiveness of school-based dance movement psychotherapy for children with emotional and behavioral difficulties. Frontiers in Psychology, 13, 883334.</w:t>
      </w:r>
    </w:p>
    <w:p>
      <w:pPr>
        <w:bidi/>
        <w:spacing w:after="120" w:line="360"/>
        <w:ind w:hanging="340"/>
        <w:jc w:val="both"/>
      </w:pPr>
      <w:r>
        <w:t xml:space="preserve">Peters, V., Bissonnette, J., Nadeau, D., Gauthier-Legare, A., &amp; Noel, M.-A. (2024). The impact of musicking on emotion regulation: A systematic review and meta-analysis. Psychology of Music.</w:t>
      </w:r>
    </w:p>
    <w:p>
      <w:pPr>
        <w:bidi/>
        <w:spacing w:after="120" w:line="360"/>
        <w:ind w:hanging="340"/>
        <w:jc w:val="both"/>
      </w:pPr>
      <w:r>
        <w:t xml:space="preserve">Savina, E. (2025). Using movement to promote self-regulation in early childhood education. Contemporary School Psychology, 29, 461-471.</w:t>
      </w:r>
    </w:p>
    <w:p>
      <w:pPr>
        <w:bidi/>
        <w:spacing w:after="120" w:line="360"/>
        <w:ind w:hanging="340"/>
        <w:jc w:val="both"/>
      </w:pPr>
      <w:r>
        <w:t xml:space="preserve">Sena Moore, K., Burbach, K., &amp; Hanson-Abromeit, D. (2025). A theory of intervention model to define the essential characteristics of music to support emotion regulation development in early childhood. Frontiers in Neuroscience, 19, 1568789.</w:t>
      </w:r>
    </w:p>
    <w:p>
      <w:pPr>
        <w:bidi/>
        <w:spacing w:after="120" w:line="360"/>
        <w:ind w:hanging="340"/>
        <w:jc w:val="both"/>
      </w:pPr>
      <w:r>
        <w:t xml:space="preserve">Williams, K. E., Bentley, L. A., Savage, S., Eager, R., &amp; Nielson, C. (2023). Rhythm and movement delivered by teachers supports self-regulation skills of preschool-aged children in disadvantaged communities: A clustered RCT. Early Childhood Research Quarterly, 65, 115-128.</w:t>
      </w:r>
    </w:p>
    <w:p>
      <w:pPr>
        <w:pStyle w:val="Heading1"/>
        <w:pageBreakBefore/>
        <w:bidi/>
        <w:spacing w:after="120" w:before="240" w:line="360"/>
        <w:jc w:val="right"/>
      </w:pPr>
      <w:r>
        <w:t xml:space="preserve">נספחים</w:t>
      </w:r>
    </w:p>
    <w:p>
      <w:pPr>
        <w:pStyle w:val="Heading2"/>
        <w:bidi/>
        <w:spacing w:after="100" w:before="200" w:line="360"/>
        <w:jc w:val="right"/>
      </w:pPr>
      <w:r>
        <w:t xml:space="preserve">נספח א': טופס תצפית (לדוגמה)</w:t>
      </w:r>
    </w:p>
    <w:tbl>
      <w:tblPr>
        <w:bidiVisual/>
        <w:tblW w:type="dxa" w:w="829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00"/>
        <w:gridCol w:w="1500"/>
        <w:gridCol w:w="1496"/>
      </w:tblGrid>
      <w:tr>
        <w:trPr>
          <w:tblHeader/>
        </w:trPr>
        <w:tc>
          <w:tcPr>
            <w:tcW w:type="dxa" w:w="1300"/>
            <w:shd w:fill="E8E8E8" w:val="clear"/>
          </w:tcPr>
          <w:p>
            <w:pPr>
              <w:bidi/>
              <w:spacing w:line="276"/>
              <w:jc w:val="center"/>
            </w:pPr>
            <w:r>
              <w:rPr>
                <w:b/>
                <w:bCs/>
              </w:rPr>
              <w:t xml:space="preserve">זמן</w:t>
            </w:r>
          </w:p>
        </w:tc>
        <w:tc>
          <w:tcPr>
            <w:tcW w:type="dxa" w:w="2500"/>
            <w:shd w:fill="E8E8E8" w:val="clear"/>
          </w:tcPr>
          <w:p>
            <w:pPr>
              <w:bidi/>
              <w:spacing w:line="276"/>
              <w:jc w:val="center"/>
            </w:pPr>
            <w:r>
              <w:rPr>
                <w:b/>
                <w:bCs/>
              </w:rPr>
              <w:t xml:space="preserve">תיאור התנועה</w:t>
            </w:r>
          </w:p>
        </w:tc>
        <w:tc>
          <w:tcPr>
            <w:tcW w:type="dxa" w:w="1500"/>
            <w:shd w:fill="E8E8E8" w:val="clear"/>
          </w:tcPr>
          <w:p>
            <w:pPr>
              <w:bidi/>
              <w:spacing w:line="276"/>
              <w:jc w:val="center"/>
            </w:pPr>
            <w:r>
              <w:rPr>
                <w:b/>
                <w:bCs/>
              </w:rPr>
              <w:t xml:space="preserve">קצב/עוצמה</w:t>
            </w:r>
          </w:p>
        </w:tc>
        <w:tc>
          <w:tcPr>
            <w:tcW w:type="dxa" w:w="1500"/>
            <w:shd w:fill="E8E8E8" w:val="clear"/>
          </w:tcPr>
          <w:p>
            <w:pPr>
              <w:bidi/>
              <w:spacing w:line="276"/>
              <w:jc w:val="center"/>
            </w:pPr>
            <w:r>
              <w:rPr>
                <w:b/>
                <w:bCs/>
              </w:rPr>
              <w:t xml:space="preserve">הבעות פנים</w:t>
            </w:r>
          </w:p>
        </w:tc>
        <w:tc>
          <w:tcPr>
            <w:tcW w:type="dxa" w:w="1496"/>
            <w:shd w:fill="E8E8E8" w:val="clear"/>
          </w:tcPr>
          <w:p>
            <w:pPr>
              <w:bidi/>
              <w:spacing w:line="276"/>
              <w:jc w:val="center"/>
            </w:pPr>
            <w:r>
              <w:rPr>
                <w:b/>
                <w:bCs/>
              </w:rPr>
              <w:t xml:space="preserve">סימני ויסות</w:t>
            </w:r>
          </w:p>
        </w:tc>
      </w:tr>
      <w:tr>
        <w:trPr>
          <w:tblHeader w:val="false"/>
        </w:trPr>
        <w:tc>
          <w:tcPr>
            <w:tcW w:type="dxa" w:w="1300"/>
          </w:tcPr>
          <w:p>
            <w:pPr>
              <w:bidi/>
              <w:spacing w:line="276"/>
              <w:jc w:val="right"/>
            </w:pPr>
            <w:r>
              <w:rPr>
                <w:b w:val="false"/>
                <w:bCs w:val="false"/>
              </w:rPr>
              <w:t xml:space="preserve"/>
            </w:r>
          </w:p>
        </w:tc>
        <w:tc>
          <w:tcPr>
            <w:tcW w:type="dxa" w:w="2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496"/>
          </w:tcPr>
          <w:p>
            <w:pPr>
              <w:bidi/>
              <w:spacing w:line="276"/>
              <w:jc w:val="right"/>
            </w:pPr>
            <w:r>
              <w:rPr>
                <w:b w:val="false"/>
                <w:bCs w:val="false"/>
              </w:rPr>
              <w:t xml:space="preserve"/>
            </w:r>
          </w:p>
        </w:tc>
      </w:tr>
      <w:tr>
        <w:trPr>
          <w:tblHeader w:val="false"/>
        </w:trPr>
        <w:tc>
          <w:tcPr>
            <w:tcW w:type="dxa" w:w="1300"/>
          </w:tcPr>
          <w:p>
            <w:pPr>
              <w:bidi/>
              <w:spacing w:line="276"/>
              <w:jc w:val="right"/>
            </w:pPr>
            <w:r>
              <w:rPr>
                <w:b w:val="false"/>
                <w:bCs w:val="false"/>
              </w:rPr>
              <w:t xml:space="preserve"/>
            </w:r>
          </w:p>
        </w:tc>
        <w:tc>
          <w:tcPr>
            <w:tcW w:type="dxa" w:w="2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496"/>
          </w:tcPr>
          <w:p>
            <w:pPr>
              <w:bidi/>
              <w:spacing w:line="276"/>
              <w:jc w:val="right"/>
            </w:pPr>
            <w:r>
              <w:rPr>
                <w:b w:val="false"/>
                <w:bCs w:val="false"/>
              </w:rPr>
              <w:t xml:space="preserve"/>
            </w:r>
          </w:p>
        </w:tc>
      </w:tr>
      <w:tr>
        <w:trPr>
          <w:tblHeader w:val="false"/>
        </w:trPr>
        <w:tc>
          <w:tcPr>
            <w:tcW w:type="dxa" w:w="1300"/>
          </w:tcPr>
          <w:p>
            <w:pPr>
              <w:bidi/>
              <w:spacing w:line="276"/>
              <w:jc w:val="right"/>
            </w:pPr>
            <w:r>
              <w:rPr>
                <w:b w:val="false"/>
                <w:bCs w:val="false"/>
              </w:rPr>
              <w:t xml:space="preserve"/>
            </w:r>
          </w:p>
        </w:tc>
        <w:tc>
          <w:tcPr>
            <w:tcW w:type="dxa" w:w="2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500"/>
          </w:tcPr>
          <w:p>
            <w:pPr>
              <w:bidi/>
              <w:spacing w:line="276"/>
              <w:jc w:val="right"/>
            </w:pPr>
            <w:r>
              <w:rPr>
                <w:b w:val="false"/>
                <w:bCs w:val="false"/>
              </w:rPr>
              <w:t xml:space="preserve"/>
            </w:r>
          </w:p>
        </w:tc>
        <w:tc>
          <w:tcPr>
            <w:tcW w:type="dxa" w:w="1496"/>
          </w:tcPr>
          <w:p>
            <w:pPr>
              <w:bidi/>
              <w:spacing w:line="276"/>
              <w:jc w:val="right"/>
            </w:pPr>
            <w:r>
              <w:rPr>
                <w:b w:val="false"/>
                <w:bCs w:val="false"/>
              </w:rPr>
              <w:t xml:space="preserve"/>
            </w:r>
          </w:p>
        </w:tc>
      </w:tr>
    </w:tbl>
    <w:p>
      <w:pPr>
        <w:pStyle w:val="Heading2"/>
        <w:bidi/>
        <w:spacing w:after="100" w:before="200" w:line="360"/>
        <w:jc w:val="right"/>
      </w:pPr>
      <w:r>
        <w:t xml:space="preserve">נספח ב': טופס הסכמה מדעת (לדוגמה)</w:t>
      </w:r>
    </w:p>
    <w:p>
      <w:pPr>
        <w:bidi/>
        <w:spacing w:after="120" w:before="0" w:line="360"/>
        <w:jc w:val="both"/>
      </w:pPr>
      <w:r>
        <w:t xml:space="preserve">אני, ההורה/אפוטרופוס של ______________, מאשר/ת את השתתפות ילדי/תי במחקר על תנועה ומוזיקה בגיל הרך, לרבות תיעוד מצולם לצורכי המחקר בלבד. ידוע לי כי הפרטים המזהים יישמרו בסודיות וכי אפשר להפסיק את ההשתתפות בכל עת.  חתימה: ______________  תאריך: 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jc w:val="right"/>
    </w:pPr>
    <w:rPr>
      <w:rFonts w:ascii="David" w:cs="David" w:eastAsia="David" w:hAnsi="David"/>
      <w:b/>
      <w:bCs/>
      <w:color w:val="000000"/>
      <w:sz w:val="28"/>
      <w:szCs w:val="28"/>
    </w:rPr>
  </w:style>
  <w:style w:type="paragraph" w:styleId="Heading2">
    <w:name w:val="Heading 2"/>
    <w:basedOn w:val="Normal"/>
    <w:next w:val="Normal"/>
    <w:qFormat/>
    <w:pPr>
      <w:spacing w:after="100" w:before="200" w:line="360"/>
      <w:jc w:val="right"/>
    </w:pPr>
    <w:rPr>
      <w:rFonts w:ascii="David" w:cs="David" w:eastAsia="David" w:hAnsi="David"/>
      <w:b/>
      <w:bCs/>
      <w:color w:val="000000"/>
      <w:sz w:val="26"/>
      <w:szCs w:val="26"/>
    </w:rPr>
  </w:style>
  <w:style w:type="paragraph" w:styleId="Heading3">
    <w:name w:val="Heading 3"/>
    <w:basedOn w:val="Normal"/>
    <w:next w:val="Normal"/>
    <w:qFormat/>
    <w:pPr>
      <w:spacing w:after="80" w:before="160" w:line="360"/>
      <w:jc w:val="right"/>
    </w:pPr>
    <w:rPr>
      <w:rFonts w:ascii="David" w:cs="David" w:eastAsia="David" w:hAnsi="David"/>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2026-07-22T22:01:51.974Z</dcterms:created>
  <dcterms:modified xsi:type="dcterms:W3CDTF">2026-07-22T22:01:51.989Z</dcterms:modified>
</cp:coreProperties>
</file>

<file path=docProps/custom.xml><?xml version="1.0" encoding="utf-8"?>
<Properties xmlns="http://schemas.openxmlformats.org/officeDocument/2006/custom-properties" xmlns:vt="http://schemas.openxmlformats.org/officeDocument/2006/docPropsVTypes"/>
</file>