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הקריה האקדמית אונו</w:t>
      </w:r>
    </w:p>
    <w:p>
      <w:pPr>
        <w:bidi/>
        <w:spacing w:after="120" w:before="0" w:line="360"/>
        <w:jc w:val="center"/>
      </w:pPr>
      <w:r>
        <w:rPr>
          <w:rFonts w:ascii="David" w:cs="David" w:eastAsia="David" w:hAnsi="David"/>
          <w:b w:val="false"/>
          <w:bCs w:val="false"/>
          <w:sz w:val="26"/>
          <w:szCs w:val="26"/>
          <w:rtl/>
        </w:rPr>
        <w:t xml:space="preserve">הפקולטה למנהל עסקים, תואר ראשון</w:t>
      </w:r>
    </w:p>
    <w:p>
      <w:pPr>
        <w:bidi/>
        <w:spacing w:after="120" w:before="0" w:line="360"/>
        <w:jc w:val="center"/>
      </w:pPr>
      <w:r>
        <w:rPr>
          <w:rFonts w:ascii="David" w:cs="David" w:eastAsia="David" w:hAnsi="David"/>
          <w:b w:val="false"/>
          <w:bCs w:val="false"/>
          <w:sz w:val="26"/>
          <w:szCs w:val="26"/>
          <w:rtl/>
        </w:rPr>
        <w:t xml:space="preserve">חשבונאות</w:t>
      </w:r>
    </w:p>
    <w:p>
      <w:pPr>
        <w:bidi/>
        <w:spacing w:after="480" w:before="0" w:line="360"/>
        <w:jc w:val="center"/>
      </w:pPr>
      <w:r>
        <w:rPr>
          <w:rFonts w:ascii="David" w:cs="David" w:eastAsia="David" w:hAnsi="David"/>
          <w:b w:val="false"/>
          <w:bCs w:val="false"/>
          <w:sz w:val="26"/>
          <w:szCs w:val="26"/>
          <w:rtl/>
        </w:rPr>
        <w:t xml:space="preserve">שנת הלימודים תשפ"ו, סמסטר 2</w:t>
      </w:r>
    </w:p>
    <w:p>
      <w:pPr>
        <w:bidi/>
        <w:spacing w:after="240" w:before="0" w:line="360"/>
        <w:jc w:val="center"/>
      </w:pPr>
      <w:r>
        <w:rPr>
          <w:rFonts w:ascii="David" w:cs="David" w:eastAsia="David" w:hAnsi="David"/>
          <w:b/>
          <w:bCs/>
          <w:sz w:val="30"/>
          <w:szCs w:val="30"/>
          <w:rtl/>
        </w:rPr>
        <w:t xml:space="preserve">עבודת גמר בקורס: דיני עבודה (קורס חובה)</w:t>
      </w:r>
    </w:p>
    <w:p>
      <w:pPr>
        <w:bidi/>
        <w:spacing w:after="600" w:before="0" w:line="360"/>
        <w:jc w:val="center"/>
      </w:pPr>
      <w:r>
        <w:rPr>
          <w:rFonts w:ascii="David" w:cs="David" w:eastAsia="David" w:hAnsi="David"/>
          <w:b/>
          <w:bCs/>
          <w:sz w:val="28"/>
          <w:szCs w:val="28"/>
          <w:rtl/>
        </w:rPr>
        <w:t xml:space="preserve">נושא העבודה: ניתוח טענות הצדדים בשלושה אירועים ביחסי עבודה</w:t>
      </w:r>
    </w:p>
    <w:p>
      <w:pPr>
        <w:bidi/>
        <w:spacing w:after="120" w:before="0" w:line="360"/>
        <w:jc w:val="center"/>
      </w:pPr>
      <w:r>
        <w:rPr>
          <w:rFonts w:ascii="David" w:cs="David" w:eastAsia="David" w:hAnsi="David"/>
          <w:b w:val="false"/>
          <w:bCs w:val="false"/>
          <w:sz w:val="24"/>
          <w:szCs w:val="24"/>
          <w:rtl/>
        </w:rPr>
        <w:t xml:space="preserve">שם המרצה (המנחה): ד"ר ירון קטן</w:t>
      </w:r>
    </w:p>
    <w:p>
      <w:pPr>
        <w:bidi/>
        <w:spacing w:after="480" w:before="0" w:line="360"/>
        <w:jc w:val="center"/>
      </w:pPr>
      <w:r>
        <w:rPr>
          <w:rFonts w:ascii="David" w:cs="David" w:eastAsia="David" w:hAnsi="David"/>
          <w:b w:val="false"/>
          <w:bCs w:val="false"/>
          <w:sz w:val="24"/>
          <w:szCs w:val="24"/>
          <w:rtl/>
        </w:rPr>
        <w:t xml:space="preserve">מתרגלת: עו"ד סימי יפית דרי</w:t>
      </w:r>
    </w:p>
    <w:p>
      <w:pPr>
        <w:bidi/>
        <w:spacing w:after="120" w:before="0" w:line="360"/>
        <w:jc w:val="center"/>
      </w:pPr>
      <w:r>
        <w:rPr>
          <w:rFonts w:ascii="David" w:cs="David" w:eastAsia="David" w:hAnsi="David"/>
          <w:b w:val="false"/>
          <w:bCs w:val="false"/>
          <w:sz w:val="24"/>
          <w:szCs w:val="24"/>
          <w:rtl/>
        </w:rPr>
        <w:t xml:space="preserve">שם הסטודנט: ____________________</w:t>
      </w:r>
    </w:p>
    <w:p>
      <w:pPr>
        <w:bidi/>
        <w:spacing w:after="480" w:before="0" w:line="360"/>
        <w:jc w:val="center"/>
      </w:pPr>
      <w:r>
        <w:rPr>
          <w:rFonts w:ascii="David" w:cs="David" w:eastAsia="David" w:hAnsi="David"/>
          <w:b w:val="false"/>
          <w:bCs w:val="false"/>
          <w:sz w:val="24"/>
          <w:szCs w:val="24"/>
          <w:rtl/>
        </w:rPr>
        <w:t xml:space="preserve">ת"ז: ____________________</w:t>
      </w:r>
    </w:p>
    <w:p>
      <w:pPr>
        <w:bidi/>
        <w:spacing w:after="120" w:before="0" w:line="360"/>
        <w:jc w:val="center"/>
      </w:pPr>
      <w:r>
        <w:rPr>
          <w:rFonts w:ascii="David" w:cs="David" w:eastAsia="David" w:hAnsi="David"/>
          <w:b w:val="false"/>
          <w:bCs w:val="false"/>
          <w:sz w:val="24"/>
          <w:szCs w:val="24"/>
          <w:rtl/>
        </w:rPr>
        <w:t xml:space="preserve">מועד הגשה: אלול תשפ"ו, אוגוסט 2026</w:t>
      </w:r>
    </w:p>
    <w:p>
      <w:r>
        <w:br w:type="page"/>
      </w:r>
    </w:p>
    <w:p>
      <w:pPr>
        <w:bidi/>
        <w:spacing w:after="160" w:before="0" w:line="360"/>
        <w:jc w:val="right"/>
      </w:pPr>
      <w:r>
        <w:rPr>
          <w:rFonts w:ascii="David" w:cs="David" w:eastAsia="David" w:hAnsi="David"/>
          <w:b/>
          <w:bCs/>
          <w:sz w:val="28"/>
          <w:szCs w:val="28"/>
          <w:u w:val="single"/>
          <w:rtl/>
        </w:rPr>
        <w:t xml:space="preserve">אירוע 1: העסקתו של צבי במסעדה</w:t>
      </w:r>
    </w:p>
    <w:p>
      <w:pPr>
        <w:bidi/>
        <w:spacing w:after="160" w:before="240" w:line="360"/>
        <w:jc w:val="right"/>
      </w:pPr>
      <w:r>
        <w:rPr>
          <w:rFonts w:ascii="David" w:cs="David" w:eastAsia="David" w:hAnsi="David"/>
          <w:b/>
          <w:bCs/>
          <w:sz w:val="26"/>
          <w:szCs w:val="26"/>
          <w:rtl/>
        </w:rPr>
        <w:t xml:space="preserve">א. דרך ההעסקה</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חוק שעות עבודה ומנוחה, התשי"א-1951, הוא חוק מגן קוגנטי הקובע את תחום יום העבודה ואת החובה לשלם גמול שעות נוספות: 125% בעד השעתיים הנוספות הראשונות ו-150% מהשעה השלישית ואילך. ההסדר שנכפה עליו, "השלמת שעות" במשמרות של 8, 12 ואף 16 שעות ביום, אינו השלמה אלא העסקה בשעות נוספות שלא שולם בעדה גמול כלשהו. משמרת של 16 שעות אף חורגת מהמותר לפי ההיתר הכללי להעסקה בשעות נוספות, המגביל את יום העבודה ל-12 שעות לכל היותר. בהעסקה שעתית במשרה חלקית אין כלל בסיס משפטי לחיוב "להשליש" שעות שבהן נעדר: בעד שעות שלא עבד פשוט לא שולם לו שכר, ואין הוא חב אותן למעסיק. מאחר שמדובר בזכויות קוגנטיות, הסכמתו להסדר אינה מעלה ואינה מורידה, שכן עובד אינו יכול לוותר על זכות המוקנית לו בחוק מגן, וויתור כזה בטל.</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ההסדר נוצר לבקשת צבי ולנוחותו, כדי לאפשר לו לשלב לימודים ועבודה, וההשלמות נעשו בהסכמה מלאה ובתיאום מראש. עוד יטען כי חישוב השעות נעשה במסגרת שבועית, כך שסך השעות לא עלה על היקף המשרה המוסכם, וכי צבי נהג בחוסר תום לב: הוא נהנה מן הגמישות לאורך כל התקופה, ורק לאחר פיטוריו נזכר להעלות טענות נגד הסדר שהוא עצמו ביקש. מנגד, כוחן של טענות אלה מוגבל נוכח אופיים הקוגנטי של חוקי המגן, ושאלת תום הלב תשפיע לכל היותר על הסעד.</w:t>
      </w:r>
    </w:p>
    <w:p>
      <w:pPr>
        <w:bidi/>
        <w:spacing w:after="160" w:before="240" w:line="360"/>
        <w:jc w:val="right"/>
      </w:pPr>
      <w:r>
        <w:rPr>
          <w:rFonts w:ascii="David" w:cs="David" w:eastAsia="David" w:hAnsi="David"/>
          <w:b/>
          <w:bCs/>
          <w:sz w:val="26"/>
          <w:szCs w:val="26"/>
          <w:rtl/>
        </w:rPr>
        <w:t xml:space="preserve">ב. השכר</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שכרו נמוך משכר המינימום, בניגוד לחוק שכר מינימום, התשמ"ז-1987, שאף הוא חוק קוגנטי שאין להתנות עליו, והוא זכאי להפרשי שכר ולפיצוי בגין הלנת שכר מכוח חוק הגנת השכר, התשי"ח-1958. אשר לטיפים, לפי ההלכה שנפסקה בעניין קיס (ע"ע (ארצי) 44510-04-13, 2018), תשר בענף המסעדנות הוא הכנסה של בית העסק המשמשת לתשלום שכר עבודה, גם כאשר הוא ניתן במזומן ישירות למלצר. משמעות הדבר כפולה: הטיפים נחשבים שכר עבודה לכל דבר, ולכן על בסיסם יש לחשב את מלוא הזכויות הסוציאליות, ובכללן ההפרשות לפנסיה. דרישתו כי ההפרשות יחושבו גם על התשר עולה אפוא בקנה אחד עם הדין, ופיטוריו בשל דרישה זו אינם יכולים להכשיר את ההפרה.</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הטיפים שנטל צבי לכיסו הם חלק משכרו, ובצירופם עלה שכרו בפועל על שכר המינימום, כך שלא הופר החוק. לחלופין יטען כי התשר הוא תשלום וולונטרי מהלקוחות שאינו "שכר" ששילם המעסיק, וכי צבי נטל לעצמו כספים השייכים לקופת המסעדה בלי ידיעת ההנהלה. אלא ששתי הטענות אינן מתיישבות זו עם זו, וממילא לפי הלכת קיס מעסיק המבקש להיבנות מן התשר כרכיב שכר נושא גם בעלויות הסוציאליות הנגזרות ממנו.</w:t>
      </w:r>
    </w:p>
    <w:p>
      <w:pPr>
        <w:bidi/>
        <w:spacing w:after="160" w:before="240" w:line="360"/>
        <w:jc w:val="right"/>
      </w:pPr>
      <w:r>
        <w:rPr>
          <w:rFonts w:ascii="David" w:cs="David" w:eastAsia="David" w:hAnsi="David"/>
          <w:b/>
          <w:bCs/>
          <w:sz w:val="26"/>
          <w:szCs w:val="26"/>
          <w:rtl/>
        </w:rPr>
        <w:t xml:space="preserve">ג. הפיטורים</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הוא פוטר לאלתר בלא שימוע, בניגוד לחובה שנקבעה בפסיקת בתי הדין לעבודה כנגזרת של חובת תום הלב ביחסי עבודה, המחייבת מתן הזדמנות אמיתית לעובד להשמיע את טענותיו בטרם החלטה, ובלא הודעה מוקדמת לפי חוק הודעה מוקדמת לפיטורים ולהתפטרות, התשס"א-2001. חמור מכך, העילה האמיתית לפיטורים היא עמידתו על זכות סוציאלית, הפרשות פנסיוניות על בסיס התשר. פיטורי עובד בשל דרישת זכויות מגן הם פיטורים שלא כדין ובחוסר תום לב, המזכים בפיצוי מוגבר מעבר לפיצויי הפיטורים.</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סיום העסקה מצוי בגדר הפררוגטיבה הניהולית של המעסיק. עילת הפיטורים אינה הדרישה הפנסיונית אלא משבר אמון חמור: התברר כי צבי נוטל לכיסו כספי תשר השייכים לעסק, ואף התנה את השבתם בתנאים. מעילה באמון מצדיקה לשיטתו פיטורים מיידיים, ואף עשויה לשלול פיצויי פיטורים והודעה מוקדמת לפי סעיפים 16-17 לחוק פיצויי פיטורים, התשכ"ג-1963. עם זאת, גם פיטורים בעילת משמעת אינם פוטרים את המעסיק מחובת השימוע, וכאן תעמוד לו לרועץ מיידיות ההחלטה.</w:t>
      </w:r>
    </w:p>
    <w:p>
      <w:r>
        <w:br w:type="page"/>
      </w:r>
    </w:p>
    <w:p>
      <w:pPr>
        <w:bidi/>
        <w:spacing w:after="160" w:before="0" w:line="360"/>
        <w:jc w:val="right"/>
      </w:pPr>
      <w:r>
        <w:rPr>
          <w:rFonts w:ascii="David" w:cs="David" w:eastAsia="David" w:hAnsi="David"/>
          <w:b/>
          <w:bCs/>
          <w:sz w:val="28"/>
          <w:szCs w:val="28"/>
          <w:u w:val="single"/>
          <w:rtl/>
        </w:rPr>
        <w:t xml:space="preserve">אירוע 2: ג'ון, שיבוץ הערב והאופניים החשמליות</w:t>
      </w:r>
    </w:p>
    <w:p>
      <w:pPr>
        <w:bidi/>
        <w:spacing w:after="160" w:before="240" w:line="360"/>
        <w:jc w:val="right"/>
      </w:pPr>
      <w:r>
        <w:rPr>
          <w:rFonts w:ascii="David" w:cs="David" w:eastAsia="David" w:hAnsi="David"/>
          <w:b/>
          <w:bCs/>
          <w:sz w:val="26"/>
          <w:szCs w:val="26"/>
          <w:rtl/>
        </w:rPr>
        <w:t xml:space="preserve">א. שיבוץ שעות העבודה</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המעבר להוראה בתוכנית הערב נעשה בהסכמה, בעידוד המנהל ובתמריץ שהעניק, ולכן הפך תנאי מתנאי חוזה העבודה האישי שלו. לפי הלכת מילפלדר (בג"ץ 239/83 מילפלדר נ' בית הדין הארצי לעבודה), צד לחוזה עבודה אינו רשאי לשנות באופן חד-צדדי תנאי מתנאיו, ושינוי כזה טעון הסכמה. ההחזרה המיידית לשעות הבוקר נעשתה בלא התראה, בלא בירור ובלא שנשמעה עמדתו, בניגוד לחובת תום הלב המגבילה את הפעלת הפררוגטיבה הניהולית (דב"ע נד/3-86 גולן נ' אי.אל.די). הוא אף שינה את מצבו לרעה בהסתמך על השיבוץ ומכר את רכבו.</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שיבוץ מורים במערכת השעות מצוי בליבת הפררוגטיבה הניהולית של מנהל בית ספר, והיא שנועדה לאפשר לו לנהל את המוסד באופן תקין. השיבוץ לתוכנית הערב ניתן על יסוד ההנחה שהמורה יגיע אליה רענן, ואילו ג'ון הגיע עייף עד כדי חוסר יכולת לעבוד, משום שבחר לעבוד בשליחויות במהלך היום. בכך סיכל את תכלית ההסדר והפר את חובות תום הלב והנאמנות שעובד חב למעסיקו. ההחזרה לבוקר אינה שינוי מהותי אלא השבת המצב לקדמותו, לאותו תפקיד ולאותן שעות שבהן עבד שנתיים, והיא אמצעי סביר ומידתי בנסיבות שנוצרו.</w:t>
      </w:r>
    </w:p>
    <w:p>
      <w:pPr>
        <w:bidi/>
        <w:spacing w:after="160" w:before="240" w:line="360"/>
        <w:jc w:val="right"/>
      </w:pPr>
      <w:r>
        <w:rPr>
          <w:rFonts w:ascii="David" w:cs="David" w:eastAsia="David" w:hAnsi="David"/>
          <w:b/>
          <w:bCs/>
          <w:sz w:val="26"/>
          <w:szCs w:val="26"/>
          <w:rtl/>
        </w:rPr>
        <w:t xml:space="preserve">ב. האופניים</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האופניים הוצעו והוענקו כ"מתנה", בלא תנאי מפורש להשבתן, ומתנה שהוקנתה אינה ניתנת לדרישה בחזרה. לכל הפחות מדובר בהטבה נלווית שהפכה חלק מתנאי עבודתו, ושלילתה היא שינוי חד-צדדי נוסף. הוא הסתמך על ההטבה ומכר את רכבו, כך שההשבה תותיר אותו בלא אמצעי תחבורה. בנוסף, בדיקת נתוני מכשיר המעקב פגעה בפרטיותו: לפי הלכת איסקוב (ע"ע (ארצי) 90/08 איסקוב ענבר נ' מדינת ישראל), מעקב טכנולוגי אחר עובד כפוף לעקרונות הלגיטימיות, צמידות המטרה, המידתיות, השקיפות וההסכמה מדעת. המכשיר הותקן למטרה מוגדרת, הגנה מפני גניבה, והמנהל עשה בו שימוש למטרה אחרת לגמרי, התחקות אחר תנועותיו בזמנו הפרטי ומחוץ למקום העבודה, בניגוד לחוק הגנת הפרטיות, התשמ"א-1981.</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האופניים נרכשו מכספי בית הספר כתמריץ הכרוך בהוראה בתוכנית הערב, ומשפקע השיבוץ נשמט הבסיס להטבה; לחלופין מדובר בכלי שנועד לאפשר הגעה לעבודת הערב ולא במתנה אישית מוחלטת. אשר לפרטיות, המכשיר היה גלוי וידוע לג'ון, הותקן להגנה על רכוש שמומן בידי המעסיק, והבדיקה נעשתה באופן חד-פעמי ורק לאחר שהתעורר חשד קונקרטי, תלונות חוזרות של ג'ון על עייפות המונעת ממנו לעבוד. תכלית הבדיקה לגיטימית והיקפה מידתי, והיא חשפה עבודה נוספת הפוגעת ישירות בתפקודו, עניין מובהק של המעסיק.</w:t>
      </w:r>
    </w:p>
    <w:p>
      <w:pPr>
        <w:bidi/>
        <w:spacing w:after="160" w:before="240" w:line="360"/>
        <w:jc w:val="right"/>
      </w:pPr>
      <w:r>
        <w:rPr>
          <w:rFonts w:ascii="David" w:cs="David" w:eastAsia="David" w:hAnsi="David"/>
          <w:b/>
          <w:bCs/>
          <w:sz w:val="26"/>
          <w:szCs w:val="26"/>
          <w:rtl/>
        </w:rPr>
        <w:t xml:space="preserve">ג. ההתפטרות</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התפטרותו היא התפטרות בדין מפוטר לפי סעיף 11(א) לחוק פיצויי פיטורים, התשכ"ג-1963: חלה הרעה מוחשית בתנאי עבודתו, שינוי כפוי של שעות העבודה ושלילת האופניים, ולמצער נוצרו נסיבות שביחסי עבודה שבהן אין לדרוש ממנו להמשיך בעבודתו. משכך הוא זכאי לפיצויי פיטורים כאילו פוטר.</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ג'ון התפטר מרצונו החופשי. הפסיקה מתנה התפטרות בדין מפוטר בכך שהעובד יעמיד את המעסיק על כוונתו ויקנה לו הזדמנות סבירה לתקן את ההרעה, ואילו ג'ון התפטר מיידית ובלא כל התראה. אין גם הרעה מוחשית, שהרי הוא הוחזר בדיוק לתנאים שבהם עבד שנתיים בלא כל טענה. התפטרות ללא הודעה מוקדמת אף מקנה למעסיק זכות לתמורת הודעה מוקדמת מכוח חוק הודעה מוקדמת לפיטורים ולהתפטרות, התשס"א-2001.</w:t>
      </w:r>
    </w:p>
    <w:p>
      <w:r>
        <w:br w:type="page"/>
      </w:r>
    </w:p>
    <w:p>
      <w:pPr>
        <w:bidi/>
        <w:spacing w:after="160" w:before="0" w:line="360"/>
        <w:jc w:val="right"/>
      </w:pPr>
      <w:r>
        <w:rPr>
          <w:rFonts w:ascii="David" w:cs="David" w:eastAsia="David" w:hAnsi="David"/>
          <w:b/>
          <w:bCs/>
          <w:sz w:val="28"/>
          <w:szCs w:val="28"/>
          <w:u w:val="single"/>
          <w:rtl/>
        </w:rPr>
        <w:t xml:space="preserve">אירוע 3: ורד, נותנת שירותי אבטחת מידע</w:t>
      </w:r>
    </w:p>
    <w:p>
      <w:pPr>
        <w:bidi/>
        <w:spacing w:after="160" w:before="240" w:line="360"/>
        <w:jc w:val="right"/>
      </w:pPr>
      <w:r>
        <w:rPr>
          <w:rFonts w:ascii="David" w:cs="David" w:eastAsia="David" w:hAnsi="David"/>
          <w:b/>
          <w:bCs/>
          <w:sz w:val="26"/>
          <w:szCs w:val="26"/>
          <w:rtl/>
        </w:rPr>
        <w:t xml:space="preserve">א. טענות ורד נגד החלטת החברה וטענות החברה</w:t>
      </w:r>
    </w:p>
    <w:p>
      <w:pPr>
        <w:bidi/>
        <w:spacing w:after="120" w:line="360"/>
        <w:jc w:val="both"/>
      </w:pPr>
      <w:r>
        <w:rPr>
          <w:rFonts w:ascii="David" w:cs="David" w:eastAsia="David" w:hAnsi="David"/>
          <w:b/>
          <w:bCs/>
          <w:sz w:val="24"/>
          <w:szCs w:val="24"/>
          <w:rtl/>
        </w:rPr>
        <w:t xml:space="preserve">טענות ורד: </w:t>
      </w:r>
      <w:r>
        <w:rPr>
          <w:rFonts w:ascii="David" w:cs="David" w:eastAsia="David" w:hAnsi="David"/>
          <w:b w:val="false"/>
          <w:bCs w:val="false"/>
          <w:sz w:val="24"/>
          <w:szCs w:val="24"/>
          <w:rtl/>
        </w:rPr>
        <w:t xml:space="preserve">מעמדו של אדם כ"עובד" הוא עניין שבסטטוס, הנקבע לפי מהות היחסים בפועל ולא לפי הכינוי שבחרו הצדדים או צורת התשלום. לפי המבחן המעורב שבמרכזו מבחן ההשתלבות, יחסיה עם חברת "מחשוב" הם יחסי עובד-מעסיק: בפן החיובי היא השתלבה במערך הרגיל של החברה, עבדה בחדר ייעודי השמור לה ובמחשבי החברה, ביום קבוע בשבוע, עשר שעות ביום, ברציפות במשך עשר שנים, והחברה אף עמדה על כך שהשירות יינתן על ידה באופן אישי ולא על ידי מחליף. התמורה ששולמה לה כללה במפורש רכיבי נסיעות וימי חופשה, כמקובל אצל עובדים שכירים. בפן השלילי, ביחסיה עם החברה היא לא ניהלה עסק עצמאי הנושא סיכוני רווח והפסד: התמורה קבועה, הציוד והחדר של החברה. עבודתה אצל לקוחות נוספים אינה שוללת מעמד עובד, שכן אדם יכול להיות עובד של כמה מעסיקים במקביל. אם היא עובדת, ההודעה על הפסקה מיידית היא פיטורים שלא כדין: בלא שימוע, בלא הודעה מוקדמת ובלא פיצויי פיטורים, והיא זכאית גם לזכויות סוציאליות רטרואקטיביות, ובהן הפרשות פנסיוניות, פדיון חופשה ודמי הבראה.</w:t>
      </w:r>
    </w:p>
    <w:p>
      <w:pPr>
        <w:bidi/>
        <w:spacing w:after="120" w:line="360"/>
        <w:jc w:val="both"/>
      </w:pPr>
      <w:r>
        <w:rPr>
          <w:rFonts w:ascii="David" w:cs="David" w:eastAsia="David" w:hAnsi="David"/>
          <w:b/>
          <w:bCs/>
          <w:sz w:val="24"/>
          <w:szCs w:val="24"/>
          <w:rtl/>
        </w:rPr>
        <w:t xml:space="preserve">טענות החברה: </w:t>
      </w:r>
      <w:r>
        <w:rPr>
          <w:rFonts w:ascii="David" w:cs="David" w:eastAsia="David" w:hAnsi="David"/>
          <w:b w:val="false"/>
          <w:bCs w:val="false"/>
          <w:sz w:val="24"/>
          <w:szCs w:val="24"/>
          <w:rtl/>
        </w:rPr>
        <w:t xml:space="preserve">ורד עצמאית מובהקת: היא הציגה את עצמה כך במשך עשור, הוציאה חשבוניות מס, נתנה שירות במקביל לחמישה עסקים שונים, וניהלה מולה החברה משא ומתן מסחרי שבמסגרתו אף איימה להפסיק את השירות אם לא יועלה מחירו, התנהלות של ספק ולא של עובדת. התמורה, 100 ש"ח לשעה הכוללת נסיעות וחופשה, גבוהה במידה ניכרת מהשכר שהיה משולם לשכירה באותו תפקיד, והצדדים ראו בה תמורה כוללת וסופית. העלאת טענת קיומם של יחסי עבודה רק לאחר סיום ההתקשרות נגועה בחוסר תום לב. לחלופין תטען החברה כי אם תוכר ורד כעובדת, יש לחשב את זכויותיה לפי שכר חלופי של שכירה ולקזז את התמורה העודפת ששולמה לה כעצמאית, ברוח שנפסק בעניין רופא (ע"ע 110/10 רפי רופא נ' מרקם סוכנות לביטוח בע"מ). מכל מקום, התקשרות מסחרית ניתנת להפסקה, בכפוף לחובת תום הלב ולמתן הודעה סבירה בלבד.</w:t>
      </w:r>
    </w:p>
    <w:p>
      <w:pPr>
        <w:bidi/>
        <w:spacing w:after="160" w:before="240" w:line="360"/>
        <w:jc w:val="right"/>
      </w:pPr>
      <w:r>
        <w:rPr>
          <w:rFonts w:ascii="David" w:cs="David" w:eastAsia="David" w:hAnsi="David"/>
          <w:b/>
          <w:bCs/>
          <w:sz w:val="26"/>
          <w:szCs w:val="26"/>
          <w:rtl/>
        </w:rPr>
        <w:t xml:space="preserve">ב. כיצד היה על החברה לנהוג, בהנחה שוורד צודקת</w:t>
      </w:r>
    </w:p>
    <w:p>
      <w:pPr>
        <w:bidi/>
        <w:spacing w:after="120" w:line="360"/>
        <w:jc w:val="both"/>
      </w:pPr>
      <w:r>
        <w:rPr>
          <w:rFonts w:ascii="David" w:cs="David" w:eastAsia="David" w:hAnsi="David"/>
          <w:b w:val="false"/>
          <w:bCs w:val="false"/>
          <w:sz w:val="24"/>
          <w:szCs w:val="24"/>
          <w:rtl/>
        </w:rPr>
        <w:t xml:space="preserve">אם ורד אכן עובדת של החברה, סיום ההעסקה היה צריך להיעשות אחרת מן היסוד. ראשית, היה על החברה לזמן אותה לשימוע בלב פתוח ובנפש חפצה, להציג לפניה מראש את הטעמים הנשקלים, עלות ההתקשרות וקיומה של חלופה זולה, ולשקול ברצינות את תגובתה בטרם החלטה. שנית, היה עליה לתת הודעה מוקדמת בכתב כנדרש בחוק הודעה מוקדמת לפיטורים ולהתפטרות, התשס"א-2001, שלאחר ותק של עשר שנים עומדת על חודש ימים, או לשלם תמורתה. שלישית, עם סיום ההעסקה קמה חובה לשלם פיצויי פיטורים לפי חוק פיצויי פיטורים, התשכ"ג-1963, על בסיס השכר הקובע והוותק שנצבר, ולהשלים את זכויות העבר: הפרשות פנסיוניות מכוח צו ההרחבה לביטוח פנסיוני מקיף במשק, פדיון חופשה שנתית לפי חוק חופשה שנתית, התשי"א-1951, ודמי הבראה. לבסוף, חילופי המנהלים אינם משנים דבר, שכן החובות מוטלות על החברה עצמה, וסיום יחסי עבודה בני עשור מחייב דרך מקובלת, הגינות ותום לב, ולא הודעה טלפונית על ניתוק מיידי.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2026-08-27T07:00:57.512Z</dcterms:created>
  <dcterms:modified xsi:type="dcterms:W3CDTF">2026-08-27T07:00:57.512Z</dcterms:modified>
</cp:coreProperties>
</file>

<file path=docProps/custom.xml><?xml version="1.0" encoding="utf-8"?>
<Properties xmlns="http://schemas.openxmlformats.org/officeDocument/2006/custom-properties" xmlns:vt="http://schemas.openxmlformats.org/officeDocument/2006/docPropsVTypes"/>
</file>