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נושא המחקר הוא שילובם של משחקי תנועה בהוראת המתמטיקה בבית הספר היסודי, ומטרתו הייתה לבחון את השפעתם על ההבנה, ההישגים והמוטיבציה של התלמידים מנקודת מבטן של מורות למתמטיקה. שאלות המחקר היו שלוש: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בעוד מורי בית הספר היסודי מעדיפים בפועל משחקים לא דיגיטליים, כפי שיוצג בסקירת הספרות.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בספרות העברית העדכנית נמצא אותו קו מחשבה בשלושה מוקדים. אלגאוי-הרשלר וחמו (2023) מסכמות לאנשי חינוך לגיל הרך ידע נוירופדגוגי על התפתחות היכולת המתמטית ומנסחות עקרונות הוראה שבמרכזם למידה דרך החושים ודרך משחק אינטואיטיבי, ומציינות שמשחקי התאמה כמו דומינו ומשחקים עם קוביות משחק מפתחים את יכולת תפיסת הכמות במבט אחד, שהיא בסיס להבנת מספרים ופעולות. גלילי (2025) מתעדת התערבות במשחק הסוציו-דרמטי בגני ילדים ומראה שתיווך פעיל במשחק מקדם כישורים קוגניטיביים ורגשיים-חברתיים, כלומר שהמשחק אינו רק מסגרת נעימה אלא מנגנון למידה שאפשר לתכנן. גיל וזרעיני (2022) מצאו בראיונות עם גננות מודעות גבוהה לחשיבות התנועה בשגרת הגן לצד ידע מועט על מה שהתנועה תורמת בפועל, פער שיחזור, כפי שיתברר, גם אצל מורות בית הספר היסודי.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מחקרים ישראליים ממחישים את הצד השני של הפישוט, מה קורה כשהמעבר מן המוחשי אל הסמל אינו מתוכנן. חסידוב ואילני (2025) מצאו שפרחי הוראה לגיל הרך ולכיתות א' וב', ואף גננות ומורות בפועל, משתמשים בסימני היחס גדול, קטן ושווה באופנים מגוונים ולא תמיד נכונים בהיבט הכמותי, המספרי והגרפי, ממצא שמזכיר שגם המושג הבסיסי ביותר זקוק לייצוג כמותי מוחשי לפני הסמל. בן-דוד קוליקנט וברוזה (2014) עיצבו סביבה משחקית ממוחשבת להוראת חיבור וחיסור של שברים עשרוניים לתלמידים מתקשים, ומצאו בסבב הראשון שלחץ הזמן במשחק, תחרות המורה עם המחשב וחוסר אחידות בייצוגים המתמטיים הכשילו את הלמידה. בסבב השני, לאחר שהמשחקים הוחלפו במשחקים שאינם תלויי זמן ונוספו מעבר דידקטי עדין מהמוחשי למופשט ונורמות של דיון, שינו כשמונים אחוזים מהתלמידים חלק מדפוסי ההתנהגות האופייניים לתלמידים מתקשים. מסקנתם, שהמשחק הוא כלי יעיל רק בצירוף הפנמה של נורמות למידה של משמעות, תחזור כמעט מילה במילה בדברי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מן הספרות העברית עולים שני גורמים המתווכים בין דרך ההוראה להישגים. בשארה (2016) השווה בין ארבעים תלמידים עם לקויות למידה בכיתות ג' וד' שלמדו בגישת הכוונה עצמית פעילה, המציבה משימות חקר וייצוג בעזרת המחשות, לבין תלמידים שלמדו בגישה המסורתית, ומצא שיכולת פתרון שאלות אתגר של הראשונים הייתה גבוהה במובהק, ללא הבדל בין בנים לבנות. קולושי-מינסקר (2022) פיתחה מודל לטיפוח הכוונה עצמית בלמידה המשלב את הצרכים הפסיכולוגיים של אוטונומיה, שייכות ויכולת, ובחנה כיצד אימון בו משפר פתרון בעיות מילוליות רב-שלביות בקרב תלמידי בית הספר היסודי. תנעמי ועילם (2021) הוסיפו, אמנם בקרב תלמידי כיתה י"ב, שתפקודים ניהוליים כקשב, עכבה וזיכרון עבודה קשורים להישגים במתמטיקה, ממצא שמעלה את השאלה אם התנועה משפיעה על ההישגים דרך המושג עצמו או דרך הקשב שהיא מגייסת.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ממצאים ישראליים מחזקים את הקשר בין אקלים שיעור משעשע ופעיל לבין מוטיבציה והישגים: בשארה וגזית (2022) בדקו שמונים תלמידי כיתה ו' עם לקויות למידה בכיתות שילוב ומצאו ששילוב הומור בשיעורי מתמטיקה קשור לרמות גבוהות יותר של מוטיבציה ללמידה ושל הישגים מתחילת השנה לסופה, ורוזנברג (2025) מצאה שהטמעת למידה פעילה במרחבי למידה חדשניים הגבירה את המעורבות והיוזמה של הלומדים אך עוררה גם חילוקי דעות ועימות עם תפיסות הוראה מושרשות, ממצא שמזכיר שהשפעתה של למידה פעילה תלויה גם במורה ולא רק בלומד.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המורה כגורם מתווך והכניסה להוראה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שנסקרה עד כאן עוסקת בתלמיד, אך המחקר הנוכחי שואל את המורות, ולכן ראוי להביא גם את מה שידוע על המורה כגורם. נוטוב (2022) עקבה אחר שתים עשרה מורות למתמטיקה בבית הספר היסודי במהלך חקר שיתופי עם תלמידיהן של נושא מתמטי שלא הכירו, ומצאה שכאשר יחסי הכוחות בכיתה השתנו וכוחן של המורות התרופף מעט, הן גילו עניין מחודש בחקר ופינו מקום להקשיב לקולות התלמידים. שבתאי (2021) ראיינה ארבע מורות למתמטיקה על עברן כלומדות ועל יחסן להוראה חקירתית לעומת הוראה מסורתית, ומצאה שההיסטוריה הקשה שלהן כלומדות מתמטיקה היא הבסיס לשיח הפדגוגי שלהן ולהזדהותן עם סגנון הוראה, ושבסיפוריהן חוזר צורך ב"תיקון" של ההוראה שהן עצמן קיבלו. שני המחקרים מרמזים שדרך ההוראה של המורה קשורה לזהותה ולעברה כלומדת, ושמעבר להוראה פעילה משנה גם את תפקיד המורה ודורש ביטחון. ביטחון זה חסר במיוחד בכניסה להוראה: זבידאת ואחרים (2022) מצאו שרמת החוסן האישי של מורים מתחילים מהחברה הערבית בישראל גבוהה מזו של מתמחים ושהחוסן קשור לוותק, וויצמן בן-דוד ואחרים (2026) הראו שהשתתפות בקהילות מקצועיות לומדות ייעודיות למחנכות מתחילות במכללה בדרום הארץ תרמה לחוסנן האישי והמקצועי ולעיצוב תפיסת תפקידן. ממצאים אלה יחזרו בפרק הממצאים, כשהמורות יתארו את המורה כגורם המכריע בהצלחת המשחק ואת הליווי בשנה הראשונה כמשאלה המרכזית.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הספרות העברית העדכנית תורמת כיוון שלישי, שעוסק בעיקר בגיל הרך, בתלמידים עם לקויות למידה ובמורה עצמה (בשארה וגזית, 2022; גלילי, 2025; נוטוב, 2022), אך אינה כוללת מחקר על משחקי תנועה בהוראת המתמטיקה בבית הספר היסודי.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המדריך המלא מובא בנספח א'.</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מטרת כל שאלה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לכל שאלה במדריך נקבעה מראש מטרה הנגזרת משאלות המחקר ומהמסגרת התיאורטית. לוח 2 מציג את השאלות לפי ציריהן ואת מטרתה של כל שאלה.</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לאחר איסוף 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ארבע מורות הביאו משפטים כאלה: תלמיד של רחאב הסביר חילוק שברים בכך שהחתיכה הקטנה נכנסת יותר פעמים, התלמיד שנשאר עומד במשחק החלוקה של ע'דיר אמר שאין לו מקום שווה, ותלמידה של ופאא אמרה שאחוז הוא מקום ולא מספר. סוהא מביאה את הדוגמה המייצגת ואת משמעותה בעיני המורות: תלמיד אמר על ההבדל בין שטח להיקף "על ההיקף הולכים, ועל השטח יושבים", "וזה כל המושג במשפט אחד, ומאז אני משתמשת במשפט הזה עם כל כיתה".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אינה מצליחה לכתוב אותו במשפט אחד היא מסיקה שעדיין לא הבינה מה היא רוצה ללמד. נג'ווא פוסלת בכיתה ב' כל משחק שיש בו יותר מתנועה אחת. רחאב מנסחת את המבחן שהיא מציבה לפני כל משחק: "האם אני יכולה להסביר את כללי המשחק בדקה אחת? אם התשובה לא, המשחק מסובך מדי ולא יצליח עם כיתה שלמה".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רחאב וע'דיר ניסחו זאת כמעט באותן מילים, ורחאב מייצגת אותן: "כל משחק מסתיים במשפט כתוב בכתב ידו של התלמיד, אחרת הוא הופך לזיכרון יפה בלי תועלת".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שמורת הכיתה משחקת וממשיכה הלאה, ואילו היא, כמורת שילוב, נשארת עם הילד אחרי המשחק עד שהקישור מושלם. סוהא מנסחת את הכלל: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וסוהא ראתה תופעה דומה ברמת בית הספר, כשהכיתות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אינו מרים יד, מסתכל על השולחן כשהוא נשאל ולעיתים מפריע כדי להסתיר שאינו מבין, ואילו במשחק, כדברי מנאל, "לא שואלים 'מי יודע' אלא 'מי קופץ', ולקפוץ כולם יכולים". נג'ווא מוסיפה שהתלמיד החלש מבין במשחק תוך כדי התנועה ולא לפניה, ושהוא שומע את החשיבה של החברים החזקים בקול רם, ורחאב מתארת שהתלמיד החלש בכיתות הגבוהות מגלה במשחק שהרעיון המתמטי אינו מעבר ליכולתו, ושמה שהיה מעבר ליכולתו הוא הסמל בלבד.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הבחינה הבחנה דומה אצל למא, בין תלמיד שמתאמץ בלי להבין לתלמיד שאינו מתאמץ, וע'דיר תיארה את טארק, שנענש על הליכה בכיתה, כתלמיד שזקוק לתנועה כדי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שלוש מורות ציטטו תלמידים שאמרו כמעט אותו דבר, שקודם שיננו ולא ראו ועכשיו הם רואים את המספר או את הפתרון. סלמא, תלמידתה של רחאב, אמרה: "קודם שיננתי ולא הבנתי, ועכשיו אני רואה את הפתרון בראש כאילו אני הולכת עליו".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מתארת שהתלמידים כותבים במבחן האבחון את המשפט שנוצר במשחק על ההיקף והשטח. סוהא מסבירה זאת בכך שהתנועה נותנת לתלמיד התנסות שהוא יכול לשחזר בראשו, ומייסון מנסחת הסבר דומה: "מה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שתלמידיה שאלו לפני המשחק הבא אם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על תלמיד שהזכיר לחברו לפני המשחק שבחיסור חוזרים אחורה, משום שרצה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מסלול דומה אצל חמזה, שקולו לא נשמע חודשיים והמשחק אפשר לו להשתתף בלי לדבר עד שהדיבור נעשה קל, ומנאל מתארת אותו אצל ג'נא, שהשתתפותה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יקרה אם כולם יירדו מהאוטובוס אצל אמל, מה יקרה אם ייכנסו מאה תלמידים למעגל היחידות אצל מייסון, ומדוע 0.09 קטן מ-0.1 אצל ופאא. את ההתמדה תיארו המורות בכך שתלמיד שטועה בשיעור רגיל מוחק, עוצר ומחכה, ואילו במשחק הוא מנסה שוב בעצמו. מנאל ראתה תלמידים "שחוזרים על הקפיצה ארבע פעמים בלי שאיש ביקש", ורחאב תיארה קבוצה שמדדה את הציר ארבע פעמים עד שהייתה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מוסיפה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ונג'ווא מתארת מניסיונה כחונכת שאותו משחק בידי מורה בטוחה מלמד ובידי מורה מתוחה מבזבז את השיעור. הגורם שהן מזהות אינו הוותק אלא הרוגע והביטחון: מורה מתוחה יוצרת לדבריהן תלמידים שמגזימים, ומורה שפוחדת מאי-סדר יוצרת תלמידים שמסרבים, משום שהם מרגישים שאינה מאמינה במשחק.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ונג'ווא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לדבריה, 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מתארת שינוי דומה בכינוי שהתלמידים נותנים לה.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 עם זאת, דרישת המורות לגשר כתוב באותו שיעור מתיישבת עם מסקנתם של בן-דוד קוליקנט וברוזה (2014), שמשחק מועיל לתלמידים מתקשים רק כשמלווה אותו מעבר דידקטי עדין מהמוחשי למופשט והפנמת נורמות של למידה של משמעות, ועם ממצאיהן של חסידוב ואילני (2025) על הצורך בייצוג כמותי מוחשי אפילו לסימני היחס הבסיסיים ביותר.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הממצאים מתיישבים גם עם ממצאיו של בשארה (2016) על יתרון ההוראה הפעילה בפתרון שאלות אתגר אצל תלמידים עם לקויות למידה בכיתות ג' וד', ועם המודל של קולושי-מינסקר (2022), שבו ההישג בפתרון בעיות צומח מסיפוק הצרכים באוטונומיה, בשייכות וביכולת. תיאור המורות של ה"תקשיבו" שכמעט נעלם במשחק מזכיר את ממצאם של תנעמי ועילם (2021) על הקשר בין תפקודים ניהוליים להישגים, ומציע שחלק מהשפעת התנועה עובר דרך הקשב.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לבחור "משחקים שלא מביכים אף אחד"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היא תואמת גם את ממצאיהם של בשארה וגזית (2022), שאקלים שיעור משעשע קשור למוטיבציה ולהישגים גם אצל תלמידי כיתה ו' עם לקויות למידה, ואת ממצאה של רוזנברג (2025), שלמידה פעילה מגבירה מעורבות ויוזמה אך מעמתת את המורה עם תפיסות הוראה מושרשות.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מעבר לשאלות המחקר: המורה כתנאי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התמה הרביעית, שהנתונים כפו, מקבלת תמיכה מהספרות העברית שנסקרה. ממצאי המורות שהמשחק עובר דרך המורה תואמים את תיאורה של נוטוב (2022), שדרך הוראה פעילה משנה את יחסי הכוחות בכיתה ודורשת מהמורה לוותר מעט על שליטה, ואת ממצאה של שבתאי (2021) שעברן של המורות כלומדות מתמטיקה מעצב את השיח הפדגוגי שלהן, ממצא שמהדהד בדרך שבה המורות במחקר זה תיארו את מקור אמונתן במשחק: התנסות מכוננת עם תלמיד אחד, ולא הכשרה. משאלת המורות לחונכת בשנה הראשונה תואמת את ממצאי זבידאת ואחרים (2022) על החוסן הנמוך יותר בכניסה להוראה בחברה הערבית, ואת ממצאי ויצמן בן-דוד ואחרים (2026) על תרומתן של קהילות לומדות למחנכות מתחילות בדרום הארץ. מה שהמחקר הנוכחי מוסיף הוא זיהוי הרגע שבו הליווי נחוץ ביותר: המשחק הראשון, ולא השנה הראשונה בכללה. הפער שתיארו גיל וזרעיני (2022) בין המודעות לחשיבות התנועה לבין הידע על תרומתה בפועל מקבל כאן מענה חלקי: המורות במחקר זה יודעות בדיוק מה התנועה תורמת, אך ידע זה נבנה מכישלונות ולא הועבר להן בהכשרה.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אלגאוי-הרשלר, א', וחמו, פ' (2023). מוח ומתמטיקה: תובנות לאנשי חינוך לגיל הרך. </w:t>
      </w:r>
      <w:r>
        <w:rPr>
          <w:rFonts w:ascii="Times New Roman" w:cs="David" w:eastAsia="Times New Roman" w:hAnsi="Times New Roman"/>
          <w:b/>
          <w:bCs/>
          <w:i w:val="false"/>
          <w:iCs w:val="false"/>
          <w:sz w:val="24"/>
          <w:szCs w:val="24"/>
          <w:rtl/>
          <w:lang w:val="en-US" w:bidi="he-IL"/>
        </w:rPr>
        <w:t xml:space="preserve">מחקר ועיון בחינוך מתמטי, 10</w:t>
      </w:r>
      <w:r>
        <w:rPr>
          <w:rFonts w:ascii="Times New Roman" w:cs="David" w:eastAsia="Times New Roman" w:hAnsi="Times New Roman"/>
          <w:b w:val="false"/>
          <w:i w:val="false"/>
          <w:iCs w:val="false"/>
          <w:sz w:val="24"/>
          <w:szCs w:val="24"/>
          <w:rtl/>
          <w:lang w:val="en-US" w:bidi="he-IL"/>
        </w:rPr>
        <w:t xml:space="preserve">, 22-34. https://www.shaanan.ac.il/wp-content/uploads/2023/11/אורית-אלגאוי-הרשלר-ופירחה-חמו.pdf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בן-דוד קוליקנט, י', וברוזה, א' (2014). ההשפעות של הוראה מבוססת משחק מחשב על תהליכי למידה של תלמידים מתקשים במתמטיקה. בתוך </w:t>
      </w:r>
      <w:r>
        <w:rPr>
          <w:rFonts w:ascii="Times New Roman" w:cs="David" w:eastAsia="Times New Roman" w:hAnsi="Times New Roman"/>
          <w:b/>
          <w:bCs/>
          <w:i w:val="false"/>
          <w:iCs w:val="false"/>
          <w:sz w:val="24"/>
          <w:szCs w:val="24"/>
          <w:rtl/>
          <w:lang w:val="en-US" w:bidi="he-IL"/>
        </w:rPr>
        <w:t xml:space="preserve">האדם הלומד בעידן הטכנולוגי: כנס צ'ייס למחקרי טכנולוגיות למידה</w:t>
      </w:r>
      <w:r>
        <w:rPr>
          <w:rFonts w:ascii="Times New Roman" w:cs="David" w:eastAsia="Times New Roman" w:hAnsi="Times New Roman"/>
          <w:b w:val="false"/>
          <w:i w:val="false"/>
          <w:iCs w:val="false"/>
          <w:sz w:val="24"/>
          <w:szCs w:val="24"/>
          <w:rtl/>
          <w:lang w:val="en-US" w:bidi="he-IL"/>
        </w:rPr>
        <w:t xml:space="preserve"> (עמ' 29-37). האוניברסיטה הפתוחה ושה"ם.</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בשארה, ס' (2016). הכוונה עצמית בהוראת המתמטיקה לתלמידים עם לקויות למידה. </w:t>
      </w:r>
      <w:r>
        <w:rPr>
          <w:rFonts w:ascii="Times New Roman" w:cs="David" w:eastAsia="Times New Roman" w:hAnsi="Times New Roman"/>
          <w:b/>
          <w:bCs/>
          <w:i w:val="false"/>
          <w:iCs w:val="false"/>
          <w:sz w:val="24"/>
          <w:szCs w:val="24"/>
          <w:rtl/>
          <w:lang w:val="en-US" w:bidi="he-IL"/>
        </w:rPr>
        <w:t xml:space="preserve">מחקר ועיון בחינוך מתמטי, 3</w:t>
      </w:r>
      <w:r>
        <w:rPr>
          <w:rFonts w:ascii="Times New Roman" w:cs="David" w:eastAsia="Times New Roman" w:hAnsi="Times New Roman"/>
          <w:b w:val="false"/>
          <w:i w:val="false"/>
          <w:iCs w:val="false"/>
          <w:sz w:val="24"/>
          <w:szCs w:val="24"/>
          <w:rtl/>
          <w:lang w:val="en-US" w:bidi="he-IL"/>
        </w:rPr>
        <w:t xml:space="preserve">, 61-74. http://www.shaanan.ac.il/wp-content/uploads/2019/01/3-gilayon_male-1.pdf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בשארה, ס', וגזית, א' (2022). הומור, מוטיבציה ללמידה ורמת הישגים במקצוע המתמטיקה בקרב תלמידים עם לקויות למידה. </w:t>
      </w:r>
      <w:r>
        <w:rPr>
          <w:rFonts w:ascii="Times New Roman" w:cs="David" w:eastAsia="Times New Roman" w:hAnsi="Times New Roman"/>
          <w:b/>
          <w:bCs/>
          <w:i w:val="false"/>
          <w:iCs w:val="false"/>
          <w:sz w:val="24"/>
          <w:szCs w:val="24"/>
          <w:rtl/>
          <w:lang w:val="en-US" w:bidi="he-IL"/>
        </w:rPr>
        <w:t xml:space="preserve">הייעוץ החינוכי, כ"ג</w:t>
      </w:r>
      <w:r>
        <w:rPr>
          <w:rFonts w:ascii="Times New Roman" w:cs="David" w:eastAsia="Times New Roman" w:hAnsi="Times New Roman"/>
          <w:b w:val="false"/>
          <w:i w:val="false"/>
          <w:iCs w:val="false"/>
          <w:sz w:val="24"/>
          <w:szCs w:val="24"/>
          <w:rtl/>
          <w:lang w:val="en-US" w:bidi="he-IL"/>
        </w:rPr>
        <w:t xml:space="preserve">. https://www.shaanan.ac.il/wp-content/uploads/2022/01/23-7-Bishara-and-Gasit.pdf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גיל, א', וזרעיני, ת' (2022). מודעותן של גננות לחשיבות תנועת הגוף וליציבה הנכונה של ילדי הגן. </w:t>
      </w:r>
      <w:r>
        <w:rPr>
          <w:rFonts w:ascii="Times New Roman" w:cs="David" w:eastAsia="Times New Roman" w:hAnsi="Times New Roman"/>
          <w:b/>
          <w:bCs/>
          <w:i w:val="false"/>
          <w:iCs w:val="false"/>
          <w:sz w:val="24"/>
          <w:szCs w:val="24"/>
          <w:rtl/>
          <w:lang w:val="en-US" w:bidi="he-IL"/>
        </w:rPr>
        <w:t xml:space="preserve">רוח הספורט, 8</w:t>
      </w:r>
      <w:r>
        <w:rPr>
          <w:rFonts w:ascii="Times New Roman" w:cs="David" w:eastAsia="Times New Roman" w:hAnsi="Times New Roman"/>
          <w:b w:val="false"/>
          <w:i w:val="false"/>
          <w:iCs w:val="false"/>
          <w:sz w:val="24"/>
          <w:szCs w:val="24"/>
          <w:rtl/>
          <w:lang w:val="en-US" w:bidi="he-IL"/>
        </w:rPr>
        <w:t xml:space="preserve">, 27-48. https://www.telhai.ac.il/sites/default/files/2023-05/גיל, זרעיני.pdf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גלילי, א' (2025). התערבות במשחק הסוציו-דרמטי לטיפוח ולפיתוח הכישורים הקוגניטיביים והרגשיים-החברתיים. </w:t>
      </w:r>
      <w:r>
        <w:rPr>
          <w:rFonts w:ascii="Times New Roman" w:cs="David" w:eastAsia="Times New Roman" w:hAnsi="Times New Roman"/>
          <w:b/>
          <w:bCs/>
          <w:i w:val="false"/>
          <w:iCs w:val="false"/>
          <w:sz w:val="24"/>
          <w:szCs w:val="24"/>
          <w:rtl/>
          <w:lang w:val="en-US" w:bidi="he-IL"/>
        </w:rPr>
        <w:t xml:space="preserve">חוקרים@הגיל הרך, 23</w:t>
      </w:r>
      <w:r>
        <w:rPr>
          <w:rFonts w:ascii="Times New Roman" w:cs="David" w:eastAsia="Times New Roman" w:hAnsi="Times New Roman"/>
          <w:b w:val="false"/>
          <w:i w:val="false"/>
          <w:iCs w:val="false"/>
          <w:sz w:val="24"/>
          <w:szCs w:val="24"/>
          <w:rtl/>
          <w:lang w:val="en-US" w:bidi="he-IL"/>
        </w:rPr>
        <w:t xml:space="preserve">. https://www.l-w.ac.il/articles/researchers-early-childhood/gilyonot/גיליון-23-חוקריםהגיל-הרך/</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ויצמן בן-דוד, ה', הייזמן, א', חנוכה, מ', ושכטר, ח' (2026). אקוסיסטם של חוסן: קהילות מקצועיות לומדות כמעצבות תפיסת תפקיד וחוסן של מחנכות כיתה בזמן מלחמה. </w:t>
      </w:r>
      <w:r>
        <w:rPr>
          <w:rFonts w:ascii="Times New Roman" w:cs="David" w:eastAsia="Times New Roman" w:hAnsi="Times New Roman"/>
          <w:b/>
          <w:bCs/>
          <w:i w:val="false"/>
          <w:iCs w:val="false"/>
          <w:sz w:val="24"/>
          <w:szCs w:val="24"/>
          <w:rtl/>
          <w:lang w:val="en-US" w:bidi="he-IL"/>
        </w:rPr>
        <w:t xml:space="preserve">עיונים במינהל ובארגון החינוך, 40</w:t>
      </w:r>
      <w:r>
        <w:rPr>
          <w:rFonts w:ascii="Times New Roman" w:cs="David" w:eastAsia="Times New Roman" w:hAnsi="Times New Roman"/>
          <w:b w:val="false"/>
          <w:i w:val="false"/>
          <w:iCs w:val="false"/>
          <w:sz w:val="24"/>
          <w:szCs w:val="24"/>
          <w:rtl/>
          <w:lang w:val="en-US" w:bidi="he-IL"/>
        </w:rPr>
        <w:t xml:space="preserve">, 293-325. https://kaye.ac.il/wp-content/uploads/2025/12/1.pdf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זבידאת, א', דלאשה, ו', וח'ליל, ע' (2022). גורמים דמוגרפיים, רגשיים-חברתיים וחינוכיים: חוסן אישי בקרב מורים מתחילים ומתמחים בהוראה מהחברה הערבית בישראל. </w:t>
      </w:r>
      <w:r>
        <w:rPr>
          <w:rFonts w:ascii="Times New Roman" w:cs="David" w:eastAsia="Times New Roman" w:hAnsi="Times New Roman"/>
          <w:b/>
          <w:bCs/>
          <w:i w:val="false"/>
          <w:iCs w:val="false"/>
          <w:sz w:val="24"/>
          <w:szCs w:val="24"/>
          <w:rtl/>
          <w:lang w:val="en-US" w:bidi="he-IL"/>
        </w:rPr>
        <w:t xml:space="preserve">דפים, 76</w:t>
      </w:r>
      <w:r>
        <w:rPr>
          <w:rFonts w:ascii="Times New Roman" w:cs="David" w:eastAsia="Times New Roman" w:hAnsi="Times New Roman"/>
          <w:b w:val="false"/>
          <w:i w:val="false"/>
          <w:iCs w:val="false"/>
          <w:sz w:val="24"/>
          <w:szCs w:val="24"/>
          <w:rtl/>
          <w:lang w:val="en-US" w:bidi="he-IL"/>
        </w:rPr>
        <w:t xml:space="preserve">, 57-77. https://dapim.mofet.macam.ac.il/article/גורמים-דמוגרפיים-רגשיים-חברתיים-וחינ/</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חסידוב, ד', ואילני, ב"ש (2025). הבנות שגויות של סימני היחס בקרב פרחי הוראה לקדם-יסודי ולכיתות א' וב'. </w:t>
      </w:r>
      <w:r>
        <w:rPr>
          <w:rFonts w:ascii="Times New Roman" w:cs="David" w:eastAsia="Times New Roman" w:hAnsi="Times New Roman"/>
          <w:b/>
          <w:bCs/>
          <w:i w:val="false"/>
          <w:iCs w:val="false"/>
          <w:sz w:val="24"/>
          <w:szCs w:val="24"/>
          <w:rtl/>
          <w:lang w:val="en-US" w:bidi="he-IL"/>
        </w:rPr>
        <w:t xml:space="preserve">מחקר ועיון בחינוך מתמטי, 11</w:t>
      </w:r>
      <w:r>
        <w:rPr>
          <w:rFonts w:ascii="Times New Roman" w:cs="David" w:eastAsia="Times New Roman" w:hAnsi="Times New Roman"/>
          <w:b w:val="false"/>
          <w:i w:val="false"/>
          <w:iCs w:val="false"/>
          <w:sz w:val="24"/>
          <w:szCs w:val="24"/>
          <w:rtl/>
          <w:lang w:val="en-US" w:bidi="he-IL"/>
        </w:rPr>
        <w:t xml:space="preserve">, 100-113. https://www.shaanan.ac.il/wp-content/uploads/2025/08/דינה-חסידוב-בת-שבע-אילני.pdf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נוטוב, ל' (2022). אפיון תפיסות של מורים את יחסי הכוחות בכיתה במהלך חקר שיתופי של מורים ותלמידים. </w:t>
      </w:r>
      <w:r>
        <w:rPr>
          <w:rFonts w:ascii="Times New Roman" w:cs="David" w:eastAsia="Times New Roman" w:hAnsi="Times New Roman"/>
          <w:b/>
          <w:bCs/>
          <w:i w:val="false"/>
          <w:iCs w:val="false"/>
          <w:sz w:val="24"/>
          <w:szCs w:val="24"/>
          <w:rtl/>
          <w:lang w:val="en-US" w:bidi="he-IL"/>
        </w:rPr>
        <w:t xml:space="preserve">דפים, 76</w:t>
      </w:r>
      <w:r>
        <w:rPr>
          <w:rFonts w:ascii="Times New Roman" w:cs="David" w:eastAsia="Times New Roman" w:hAnsi="Times New Roman"/>
          <w:b w:val="false"/>
          <w:i w:val="false"/>
          <w:iCs w:val="false"/>
          <w:sz w:val="24"/>
          <w:szCs w:val="24"/>
          <w:rtl/>
          <w:lang w:val="en-US" w:bidi="he-IL"/>
        </w:rPr>
        <w:t xml:space="preserve">. https://dapim.mofet.macam.ac.il/wp-content/uploads/2021/10/אפיון-תפיסות-של-מורים-את-יחסי-הכוחות-בכיתה.pdf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קולושי-מינסקר, ע' (2022). מודל טיפוח הכוונה עצמית להעלאת הישגים בפתרון בעיות מילוליות במתמטיקה. </w:t>
      </w:r>
      <w:r>
        <w:rPr>
          <w:rFonts w:ascii="Times New Roman" w:cs="David" w:eastAsia="Times New Roman" w:hAnsi="Times New Roman"/>
          <w:b/>
          <w:bCs/>
          <w:i w:val="false"/>
          <w:iCs w:val="false"/>
          <w:sz w:val="24"/>
          <w:szCs w:val="24"/>
          <w:rtl/>
          <w:lang w:val="en-US" w:bidi="he-IL"/>
        </w:rPr>
        <w:t xml:space="preserve">מחקר ועיון בחינוך מתמטי, 9</w:t>
      </w:r>
      <w:r>
        <w:rPr>
          <w:rFonts w:ascii="Times New Roman" w:cs="David" w:eastAsia="Times New Roman" w:hAnsi="Times New Roman"/>
          <w:b w:val="false"/>
          <w:i w:val="false"/>
          <w:iCs w:val="false"/>
          <w:sz w:val="24"/>
          <w:szCs w:val="24"/>
          <w:rtl/>
          <w:lang w:val="en-US" w:bidi="he-IL"/>
        </w:rPr>
        <w:t xml:space="preserve">. https://www.shaanan.ac.il/wp-content/uploads/2023/01/inbal.pdf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רוזנברג, ש' (2025). למידה פעילה, מעורבות סטודנטים והתמודדות עם תפיסות הוראה ולמידה: הזדמנויות ואתגרים שמזמנים מרחבי למידה במכללה להוראה. </w:t>
      </w:r>
      <w:r>
        <w:rPr>
          <w:rFonts w:ascii="Times New Roman" w:cs="David" w:eastAsia="Times New Roman" w:hAnsi="Times New Roman"/>
          <w:b/>
          <w:bCs/>
          <w:i w:val="false"/>
          <w:iCs w:val="false"/>
          <w:sz w:val="24"/>
          <w:szCs w:val="24"/>
          <w:rtl/>
          <w:lang w:val="en-US" w:bidi="he-IL"/>
        </w:rPr>
        <w:t xml:space="preserve">חמדעת, י"ח</w:t>
      </w:r>
      <w:r>
        <w:rPr>
          <w:rFonts w:ascii="Times New Roman" w:cs="David" w:eastAsia="Times New Roman" w:hAnsi="Times New Roman"/>
          <w:b w:val="false"/>
          <w:i w:val="false"/>
          <w:iCs w:val="false"/>
          <w:sz w:val="24"/>
          <w:szCs w:val="24"/>
          <w:rtl/>
          <w:lang w:val="en-US" w:bidi="he-IL"/>
        </w:rPr>
        <w:t xml:space="preserve">. https://www.hemdat.ac.il/wp-content/uploads/2025/08/כרך-יח-סופי.pdf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שבתאי, ג' (2021). על ארבע מורות וחקר בהוראת המתמטיקה. </w:t>
      </w:r>
      <w:r>
        <w:rPr>
          <w:rFonts w:ascii="Times New Roman" w:cs="David" w:eastAsia="Times New Roman" w:hAnsi="Times New Roman"/>
          <w:b/>
          <w:bCs/>
          <w:i w:val="false"/>
          <w:iCs w:val="false"/>
          <w:sz w:val="24"/>
          <w:szCs w:val="24"/>
          <w:rtl/>
          <w:lang w:val="en-US" w:bidi="he-IL"/>
        </w:rPr>
        <w:t xml:space="preserve">מחקר ועיון בחינוך מתמטי, 8</w:t>
      </w:r>
      <w:r>
        <w:rPr>
          <w:rFonts w:ascii="Times New Roman" w:cs="David" w:eastAsia="Times New Roman" w:hAnsi="Times New Roman"/>
          <w:b w:val="false"/>
          <w:i w:val="false"/>
          <w:iCs w:val="false"/>
          <w:sz w:val="24"/>
          <w:szCs w:val="24"/>
          <w:rtl/>
          <w:lang w:val="en-US" w:bidi="he-IL"/>
        </w:rPr>
        <w:t xml:space="preserve">, 63-72. https://www.shaanan.ac.il/wp-content/uploads/2021/04/shabtay.pdf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תנעמי, י', ועילם, א' (2021). הקשר בין תפקודים ניהוליים להישגים במתמטיקה בקרב תלמידי כיתה י"ב. </w:t>
      </w:r>
      <w:r>
        <w:rPr>
          <w:rFonts w:ascii="Times New Roman" w:cs="David" w:eastAsia="Times New Roman" w:hAnsi="Times New Roman"/>
          <w:b/>
          <w:bCs/>
          <w:i w:val="false"/>
          <w:iCs w:val="false"/>
          <w:sz w:val="24"/>
          <w:szCs w:val="24"/>
          <w:rtl/>
          <w:lang w:val="en-US" w:bidi="he-IL"/>
        </w:rPr>
        <w:t xml:space="preserve">מחקר ועיון בחינוך מתמטי, 8</w:t>
      </w:r>
      <w:r>
        <w:rPr>
          <w:rFonts w:ascii="Times New Roman" w:cs="David" w:eastAsia="Times New Roman" w:hAnsi="Times New Roman"/>
          <w:b w:val="false"/>
          <w:i w:val="false"/>
          <w:iCs w:val="false"/>
          <w:sz w:val="24"/>
          <w:szCs w:val="24"/>
          <w:rtl/>
          <w:lang w:val="en-US" w:bidi="he-IL"/>
        </w:rPr>
        <w:t xml:space="preserve">, 73-81. https://www.shaanan.ac.il/wp-content/uploads/2021/02/tanami_eylam-1.pdf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2026-09-21T18:41:48.301Z</dcterms:created>
  <dcterms:modified xsi:type="dcterms:W3CDTF">2026-09-21T18:41:48.317Z</dcterms:modified>
</cp:coreProperties>
</file>

<file path=docProps/custom.xml><?xml version="1.0" encoding="utf-8"?>
<Properties xmlns="http://schemas.openxmlformats.org/officeDocument/2006/custom-properties" xmlns:vt="http://schemas.openxmlformats.org/officeDocument/2006/docPropsVTypes"/>
</file>