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bidi/>
        <w:spacing w:after="80" w:line="360"/>
        <w:jc w:val="center"/>
      </w:pPr>
      <w:r>
        <w:rPr>
          <w:rFonts w:ascii="David" w:cs="David" w:eastAsia="David" w:hAnsi="David"/>
          <w:b/>
          <w:bCs/>
          <w:sz w:val="28"/>
          <w:szCs w:val="28"/>
          <w:rtl/>
        </w:rPr>
        <w:t xml:space="preserve">הקריה האקדמית אונו</w:t>
      </w:r>
    </w:p>
    <w:p>
      <w:pPr>
        <w:bidi/>
        <w:spacing w:after="80" w:line="360"/>
        <w:jc w:val="center"/>
      </w:pPr>
      <w:r>
        <w:rPr>
          <w:rFonts w:ascii="David" w:cs="David" w:eastAsia="David" w:hAnsi="David"/>
          <w:b/>
          <w:bCs/>
          <w:sz w:val="28"/>
          <w:szCs w:val="28"/>
          <w:rtl/>
        </w:rPr>
        <w:t xml:space="preserve">הפקולטה למדעי הרוח</w:t>
      </w:r>
    </w:p>
    <w:p>
      <w:pPr>
        <w:bidi/>
        <w:spacing w:after="1800" w:line="360"/>
        <w:jc w:val="center"/>
      </w:pPr>
      <w:r>
        <w:rPr>
          <w:rFonts w:ascii="David" w:cs="David" w:eastAsia="David" w:hAnsi="David"/>
          <w:b/>
          <w:bCs/>
          <w:sz w:val="28"/>
          <w:szCs w:val="28"/>
          <w:rtl/>
        </w:rPr>
        <w:t xml:space="preserve">בית הספר לחינוך</w:t>
      </w:r>
    </w:p>
    <w:p>
      <w:pPr>
        <w:bidi/>
        <w:spacing w:after="160" w:line="360"/>
        <w:jc w:val="center"/>
      </w:pPr>
      <w:r>
        <w:rPr>
          <w:rFonts w:ascii="David" w:cs="David" w:eastAsia="David" w:hAnsi="David"/>
          <w:b/>
          <w:bCs/>
          <w:sz w:val="40"/>
          <w:szCs w:val="40"/>
          <w:rtl/>
        </w:rPr>
        <w:t xml:space="preserve">עבריינות נשים מהמקרא ועד ימינו</w:t>
      </w:r>
    </w:p>
    <w:p>
      <w:pPr>
        <w:bidi/>
        <w:spacing w:after="400" w:line="360"/>
        <w:jc w:val="center"/>
      </w:pPr>
      <w:r>
        <w:rPr>
          <w:rFonts w:ascii="David" w:cs="David" w:eastAsia="David" w:hAnsi="David"/>
          <w:b/>
          <w:bCs/>
          <w:sz w:val="32"/>
          <w:szCs w:val="32"/>
          <w:rtl/>
        </w:rPr>
        <w:t xml:space="preserve">הפער המגדרי בעבריינות בראי היהדות והקרימינולוגיה</w:t>
      </w:r>
    </w:p>
    <w:p>
      <w:pPr>
        <w:bidi/>
        <w:spacing w:after="120" w:line="360"/>
        <w:jc w:val="center"/>
      </w:pPr>
      <w:r>
        <w:rPr>
          <w:rFonts w:ascii="David" w:cs="David" w:eastAsia="David" w:hAnsi="David"/>
          <w:b w:val="false"/>
          <w:bCs w:val="false"/>
          <w:sz w:val="26"/>
          <w:szCs w:val="26"/>
          <w:rtl/>
        </w:rPr>
        <w:t xml:space="preserve">עבודה סמינריונית בקורס: סוגיות נבחרות בקרימינולוגיה ויהדות</w:t>
      </w:r>
    </w:p>
    <w:p>
      <w:pPr>
        <w:bidi/>
        <w:spacing w:after="1800" w:line="360"/>
        <w:jc w:val="center"/>
      </w:pPr>
      <w:r>
        <w:rPr>
          <w:rFonts w:ascii="David" w:cs="David" w:eastAsia="David" w:hAnsi="David"/>
          <w:b w:val="false"/>
          <w:bCs w:val="false"/>
          <w:sz w:val="26"/>
          <w:szCs w:val="26"/>
          <w:rtl/>
        </w:rPr>
        <w:t xml:space="preserve">מרצה: פרופ' רויטל סלע-שיוביץ</w:t>
      </w:r>
    </w:p>
    <w:p>
      <w:pPr>
        <w:bidi/>
        <w:spacing w:after="120" w:line="360"/>
        <w:jc w:val="center"/>
      </w:pPr>
      <w:r>
        <w:rPr>
          <w:rFonts w:ascii="David" w:cs="David" w:eastAsia="David" w:hAnsi="David"/>
          <w:b w:val="false"/>
          <w:bCs w:val="false"/>
          <w:sz w:val="26"/>
          <w:szCs w:val="26"/>
          <w:rtl/>
        </w:rPr>
        <w:t xml:space="preserve">מגיש/ה: ____________________</w:t>
      </w:r>
    </w:p>
    <w:p>
      <w:pPr>
        <w:bidi/>
        <w:spacing w:after="400" w:line="360"/>
        <w:jc w:val="center"/>
      </w:pPr>
      <w:r>
        <w:rPr>
          <w:rFonts w:ascii="David" w:cs="David" w:eastAsia="David" w:hAnsi="David"/>
          <w:b w:val="false"/>
          <w:bCs w:val="false"/>
          <w:sz w:val="26"/>
          <w:szCs w:val="26"/>
          <w:rtl/>
        </w:rPr>
        <w:t xml:space="preserve">ת.ז: ____________________</w:t>
      </w:r>
    </w:p>
    <w:p>
      <w:pPr>
        <w:bidi/>
        <w:spacing w:after="0" w:line="360"/>
        <w:jc w:val="center"/>
      </w:pPr>
      <w:r>
        <w:rPr>
          <w:rFonts w:ascii="David" w:cs="David" w:eastAsia="David" w:hAnsi="David"/>
          <w:b w:val="false"/>
          <w:bCs w:val="false"/>
          <w:sz w:val="24"/>
          <w:szCs w:val="24"/>
          <w:rtl/>
        </w:rPr>
        <w:t xml:space="preserve">תאריך הגשה: אוגוסט 2026, אב תשפ"ו</w:t>
      </w:r>
    </w:p>
    <w:p>
      <w:r>
        <w:br w:type="page"/>
      </w:r>
    </w:p>
    <w:p>
      <w:pPr>
        <w:bidi/>
        <w:spacing w:after="400" w:before="0" w:line="360"/>
        <w:jc w:val="center"/>
      </w:pPr>
      <w:r>
        <w:rPr>
          <w:rFonts w:ascii="David" w:cs="David" w:eastAsia="David" w:hAnsi="David"/>
          <w:b/>
          <w:bCs/>
          <w:sz w:val="32"/>
          <w:szCs w:val="32"/>
          <w:rtl/>
        </w:rPr>
        <w:t xml:space="preserve">תוכן העניינים</w:t>
      </w:r>
    </w:p>
    <w:sdt>
      <w:sdtPr>
        <w:alias w:val="תוכן עניינים"/>
      </w:sdtPr>
      <w:sdtContent>
        <w:p>
          <w:r>
            <w:fldChar w:fldCharType="begin" w:dirty="true"/>
            <w:instrText xml:space="preserve">TOC \h \o "1-1"</w:instrText>
            <w:fldChar w:fldCharType="separate"/>
          </w:r>
        </w:p>
        <w:p>
          <w:r>
            <w:fldChar w:fldCharType="end"/>
          </w:r>
        </w:p>
      </w:sdtContent>
    </w:sdt>
    <w:p>
      <w:r>
        <w:br w:type="page"/>
      </w:r>
    </w:p>
    <w:p>
      <w:pPr>
        <w:pStyle w:val="Heading1"/>
        <w:pageBreakBefore/>
        <w:bidi/>
        <w:spacing w:after="240" w:before="240" w:line="360"/>
        <w:jc w:val="center"/>
      </w:pPr>
      <w:r>
        <w:rPr>
          <w:rFonts w:ascii="David" w:cs="David" w:eastAsia="David" w:hAnsi="David"/>
          <w:b/>
          <w:bCs/>
          <w:color w:val="000000"/>
          <w:sz w:val="30"/>
          <w:szCs w:val="30"/>
          <w:rtl/>
        </w:rPr>
        <w:t xml:space="preserve">תקציר</w:t>
      </w:r>
    </w:p>
    <w:p>
      <w:pPr>
        <w:bidi/>
        <w:spacing w:after="160" w:before="0" w:line="360"/>
        <w:jc w:val="both"/>
      </w:pPr>
      <w:r>
        <w:rPr>
          <w:rFonts w:ascii="David" w:cs="David" w:eastAsia="David" w:hAnsi="David"/>
          <w:sz w:val="24"/>
          <w:szCs w:val="24"/>
          <w:rtl/>
        </w:rPr>
        <w:t xml:space="preserve">אחת העובדות היציבות והעקביות ביותר בקרימינולוגיה היא הפער המגדרי בפשיעה: כמעט בכל חברה ובכל קטגוריה של עבירות, נשים עוברות פחות עבירות מגברים, ופער זה בולט במיוחד בעבירות אלימות חמורות. עבודה זו מבקשת לבחון את שאלת המחקר: מדוע נשים עוברות פחות עבירות מגברים, וכיצד מוסבר הפער המגדרי בפשיעה בגישת היהדות לעומת הגישות בקרימינולוגיה?</w:t>
      </w:r>
    </w:p>
    <w:p>
      <w:pPr>
        <w:bidi/>
        <w:spacing w:after="160" w:before="0" w:line="360"/>
        <w:jc w:val="both"/>
      </w:pPr>
      <w:r>
        <w:rPr>
          <w:rFonts w:ascii="David" w:cs="David" w:eastAsia="David" w:hAnsi="David"/>
          <w:sz w:val="24"/>
          <w:szCs w:val="24"/>
          <w:rtl/>
        </w:rPr>
        <w:t xml:space="preserve">העבודה סוקרת תחילה את הגדרות התופעה ומאפייניה: היקף הפער המגדרי, דפוסי העבריינות הייחודיים לנשים ומסלולי הכניסה שלהן לעולם העבריינות. בהמשך ייבחן יחסה של היהדות לנושא, ובכלל זה עקרון האחריות הפלילית השווה של האישה במשפט העברי, תפיסת "בינה יתרה", ערך הצניעות ותפקידה החברתי של האישה כמנגנוני הגנה מפני עבריינות. הפרק השלישי מציג את הגישות הקרימינולוגיות המרכזיות להסבר פשיעת נשים: מהגישות הביולוגיות המוקדמות של לומברוזו, דרך תיאוריות האמנציפציה, ועד התיאוריות הפמיניסטיות הרדיקליות, תיאוריית הכוח-שליטה ותיאוריית הלחץ המגדרית. הפרק הרביעי סוקר מחקרים אמפיריים עדכניים מהעשור האחרון על מגמות הפער המגדרי, על עבריינות קטינות ועל הקשר שבין דתיות לעבריינות.</w:t>
      </w:r>
    </w:p>
    <w:p>
      <w:pPr>
        <w:bidi/>
        <w:spacing w:after="160" w:before="0" w:line="360"/>
        <w:jc w:val="both"/>
      </w:pPr>
      <w:r>
        <w:rPr>
          <w:rFonts w:ascii="David" w:cs="David" w:eastAsia="David" w:hAnsi="David"/>
          <w:sz w:val="24"/>
          <w:szCs w:val="24"/>
          <w:rtl/>
        </w:rPr>
        <w:t xml:space="preserve">בפרק הדיון נערכת השוואה שיטתית בין שתי מערכות הידע. מסקנת העבודה המרכזית היא כי קיימת הלימה מפתיעה בין המנגנונים שמזהה הקרימינולוגיה המודרנית (פיקוח חברתי בלתי פורמלי, חיברות מגדרי וקשרי משפחה) לבין המנגנונים שהיהדות עיצבה הלכה למעשה לפני אלפי שנים. עם זאת, בעוד הקרימינולוגיה המוקדמת ראתה באישה העבריינית חריגה ביולוגית, המשפט העברי העמיד את האישה כסובייקט מוסרי מלא ושווה. העבודה מציעה תובנה חדשה: ניתן לקרוא את מקורות היהדות כתיאוריה מוקדמת של פיקוח חברתי מגדרי, אך גם להפנות כלפיה את הביקורת הפמיניסטית על מחיר החופש שגובה הגנה זו.</w:t>
      </w:r>
    </w:p>
    <w:p>
      <w:pPr>
        <w:pStyle w:val="Heading1"/>
        <w:pageBreakBefore/>
        <w:bidi/>
        <w:spacing w:after="240" w:before="240" w:line="360"/>
        <w:jc w:val="center"/>
      </w:pPr>
      <w:r>
        <w:rPr>
          <w:rFonts w:ascii="David" w:cs="David" w:eastAsia="David" w:hAnsi="David"/>
          <w:b/>
          <w:bCs/>
          <w:color w:val="000000"/>
          <w:sz w:val="30"/>
          <w:szCs w:val="30"/>
          <w:rtl/>
        </w:rPr>
        <w:t xml:space="preserve">מבוא</w:t>
      </w:r>
    </w:p>
    <w:p>
      <w:pPr>
        <w:bidi/>
        <w:spacing w:after="160" w:before="0" w:line="360"/>
        <w:jc w:val="both"/>
      </w:pPr>
      <w:r>
        <w:rPr>
          <w:rFonts w:ascii="David" w:cs="David" w:eastAsia="David" w:hAnsi="David"/>
          <w:sz w:val="24"/>
          <w:szCs w:val="24"/>
          <w:rtl/>
        </w:rPr>
        <w:t xml:space="preserve">הפער המגדרי בפשיעה (Gender Gap) מתואר בספרות המחקר כאחד הממצאים היציבים ביותר במדעי החברה. בסקירות המחקר מקובל לראות במגדר את אחד המנבאים החזקים ביותר של מעורבות בפשיעה, חזק יותר מגיל, ממעמד חברתי-כלכלי, מהשכלה ומרוב המשתנים הדמוגרפיים האחרים (van der Heijden, 2024). נשים מהוות כמחצית מהאוכלוסייה, אך שיעורן בקרב החשודים, הנאשמים והאסירים נמוך באופן דרמטי: בישראל, כמו ברוב מדינות העולם, נשים מהוות פחות מחמישית מכלל התיקים הפליליים ואחוזים בודדים בלבד מאוכלוסיית הכלא (יכימוביץ-כהן, 2017; Sela-Shayovitz, 2017; van der Heijden, 2024).</w:t>
      </w:r>
    </w:p>
    <w:p>
      <w:pPr>
        <w:bidi/>
        <w:spacing w:after="160" w:before="0" w:line="360"/>
        <w:jc w:val="both"/>
      </w:pPr>
      <w:r>
        <w:rPr>
          <w:rFonts w:ascii="David" w:cs="David" w:eastAsia="David" w:hAnsi="David"/>
          <w:sz w:val="24"/>
          <w:szCs w:val="24"/>
          <w:rtl/>
        </w:rPr>
        <w:t xml:space="preserve">עקביותה של תופעה זו על פני תרבויות, תקופות ושיטות משפט שונות מעוררת שאלה תיאורטית מסדר ראשון: האם מדובר בהבדל מהותי בין המינים, בתוצר של חיברות ופיקוח חברתי דיפרנציאליים, בהטיה של מערכות האכיפה, או בשילוב של כל אלה? שאלה זו העסיקה את הקרימינולוגיה מראשיתה, אולם במשך עשורים רבים נדחקה לשוליים: התיאוריות הקלאסיות נוסחו על ידי גברים, על סמך מחקר על גברים, וכוונו להסבר עבריינות של גברים (Naegler &amp; Salman, 2016). רק מאז שנות השבעים של המאה העשרים, עם עליית הקרימינולוגיה הפמיניסטית, הפך הפער המגדרי למושא מחקר מרכזי.</w:t>
      </w:r>
    </w:p>
    <w:p>
      <w:pPr>
        <w:bidi/>
        <w:spacing w:after="160" w:before="0" w:line="360"/>
        <w:jc w:val="both"/>
      </w:pPr>
      <w:r>
        <w:rPr>
          <w:rFonts w:ascii="David" w:cs="David" w:eastAsia="David" w:hAnsi="David"/>
          <w:sz w:val="24"/>
          <w:szCs w:val="24"/>
          <w:rtl/>
        </w:rPr>
        <w:t xml:space="preserve">גם היהדות, כמערכת נורמטיבית בת אלפי שנים המבקשת להסדיר את התנהגות האדם ולהרחיקו מן העבירה, התייחסה באופן עשיר ומורכב לשאלת האישה והחטא. המשפט העברי קבע עיקרון מרחיק ראות של שוויון באחריות הפלילית: "השווה הכתוב אישה לאיש לכל עונשין שבתורה" (בבא קמא טו ע"א), ובה בעת עיצב לנשים ולגברים תפקידים חברתיים, מרחבי פעולה ומנגנוני פיקוח שונים בתכלית. עיון במקורות אלה מנקודת מבט קרימינולוגית הוא חלק ממגמה מחקרית מתפתחת של "קרימינולוגיה רוחנית יהודית", המבקשת לחלץ מכתבי הקודש ידע תיאורטי ויישומי רלוונטי להבנת העבריינות ולטיפול בה (בן יאיר, 2021; Ben Yair, 2021).</w:t>
      </w:r>
    </w:p>
    <w:p>
      <w:pPr>
        <w:bidi/>
        <w:spacing w:after="160" w:before="0" w:line="360"/>
        <w:jc w:val="both"/>
      </w:pPr>
      <w:r>
        <w:rPr>
          <w:rFonts w:ascii="David" w:cs="David" w:eastAsia="David" w:hAnsi="David"/>
          <w:sz w:val="24"/>
          <w:szCs w:val="24"/>
          <w:rtl/>
        </w:rPr>
        <w:t xml:space="preserve">שאלת המחקר של עבודה זו היא אפוא: מדוע נשים עוברות פחות עבירות מגברים, וכיצד מוסבר הפער המגדרי בפשיעה בגישת היהדות לעומת הגישות בקרימינולוגיה? לבחינת השאלה תוצג תחילה התופעה על הגדרותיה ומאפייניה (פרק ראשון); לאחר מכן ייבחן יחס היהדות לנושא (פרק שני); בהמשך יוצגו הגישות הקרימינולוגיות המסבירות את הפער המגדרי (פרק שלישי) ומחקרים אמפיריים עדכניים בתחום (פרק רביעי); ולבסוף ייערך דיון השוואתי-ביקורתי ויוצגו מסקנות העבודה (פרק חמישי).</w:t>
      </w:r>
    </w:p>
    <w:p>
      <w:pPr>
        <w:pStyle w:val="Heading1"/>
        <w:pageBreakBefore/>
        <w:bidi/>
        <w:spacing w:after="240" w:before="240" w:line="360"/>
        <w:jc w:val="center"/>
      </w:pPr>
      <w:r>
        <w:rPr>
          <w:rFonts w:ascii="David" w:cs="David" w:eastAsia="David" w:hAnsi="David"/>
          <w:b/>
          <w:bCs/>
          <w:color w:val="000000"/>
          <w:sz w:val="30"/>
          <w:szCs w:val="30"/>
          <w:rtl/>
        </w:rPr>
        <w:t xml:space="preserve">פרק ראשון: הגדרות ומאפיינים של התופעה</w:t>
      </w:r>
    </w:p>
    <w:p>
      <w:pPr>
        <w:pStyle w:val="Heading2"/>
        <w:bidi/>
        <w:spacing w:after="120" w:before="240" w:line="360"/>
        <w:jc w:val="right"/>
      </w:pPr>
      <w:r>
        <w:rPr>
          <w:rFonts w:ascii="David" w:cs="David" w:eastAsia="David" w:hAnsi="David"/>
          <w:b/>
          <w:bCs/>
          <w:color w:val="000000"/>
          <w:sz w:val="26"/>
          <w:szCs w:val="26"/>
          <w:rtl/>
        </w:rPr>
        <w:t xml:space="preserve">1.1 הגדרת מושגי היסוד</w:t>
      </w:r>
    </w:p>
    <w:p>
      <w:pPr>
        <w:bidi/>
        <w:spacing w:after="160" w:before="0" w:line="360"/>
        <w:jc w:val="both"/>
      </w:pPr>
      <w:r>
        <w:rPr>
          <w:rFonts w:ascii="David" w:cs="David" w:eastAsia="David" w:hAnsi="David"/>
          <w:sz w:val="24"/>
          <w:szCs w:val="24"/>
          <w:rtl/>
        </w:rPr>
        <w:t xml:space="preserve">עבריינות מוגדרת בספרות כהתנהגות המפרה נורמות חברתיות שעוגנו בחוק הפלילי, אשר בצידה סנקציה מדינתית פורמלית. סטייה חברתית היא מושג רחב יותר, הכולל כל התנהגות החורגת מן הנורמות המקובלות בחברה נתונה, גם אם אינה אסורה בחוק (לרנאו, 2023). ההבחנה בין השתיים חשובה במיוחד לדיון המגדרי: התנהגויות מסוימות של נשים תויגו לאורך ההיסטוריה כסטייה חמורה, ולעיתים אף הופללו, דווקא משום שחרגו מן הציפיות המגדריות, אף שאצל גברים נתפסו כנורמטיביות (Naegler &amp; Salman, 2016). לרנאו (2023) מדגיש כי הגדרת העבריינות היא תמיד תוצר של הבניה חברתית ושל יחסי כוח, ומכאן שגם דפוסי הפער המגדרי משקפים את ההתנהגות בפועל יחד עם אופן פעולתן של מערכות התיוג והאכיפה.</w:t>
      </w:r>
    </w:p>
    <w:p>
      <w:pPr>
        <w:bidi/>
        <w:spacing w:after="160" w:before="0" w:line="360"/>
        <w:jc w:val="both"/>
      </w:pPr>
      <w:r>
        <w:rPr>
          <w:rFonts w:ascii="David" w:cs="David" w:eastAsia="David" w:hAnsi="David"/>
          <w:sz w:val="24"/>
          <w:szCs w:val="24"/>
          <w:rtl/>
        </w:rPr>
        <w:t xml:space="preserve">הפער המגדרי בפשיעה מוגדר כהפרש השיטתי בין שיעורי המעורבות של גברים ושל נשים בעבריינות, כפי שהוא נמדד בסטטיסטיקות רשמיות (מעצרים, הרשעות, כליאה), בסקרי דיווח עצמי ובסקרי נפגעי עבירה. ההבחנה הנדרשת כאן כפולה: הפער בהיקף (נשים עוברות פחות עבירות) והפער בדפוס (נשים עוברות עבירות מסוגים שונים, בנסיבות שונות ובתפקידים שונים). שני הממדים נדרשים יחדיו לתיאור מלא של התופעה (Campaniello, 2019).</w:t>
      </w:r>
    </w:p>
    <w:p>
      <w:pPr>
        <w:pStyle w:val="Heading2"/>
        <w:bidi/>
        <w:spacing w:after="120" w:before="240" w:line="360"/>
        <w:jc w:val="right"/>
      </w:pPr>
      <w:r>
        <w:rPr>
          <w:rFonts w:ascii="David" w:cs="David" w:eastAsia="David" w:hAnsi="David"/>
          <w:b/>
          <w:bCs/>
          <w:color w:val="000000"/>
          <w:sz w:val="26"/>
          <w:szCs w:val="26"/>
          <w:rtl/>
        </w:rPr>
        <w:t xml:space="preserve">1.2 היקף הפער המגדרי</w:t>
      </w:r>
    </w:p>
    <w:p>
      <w:pPr>
        <w:bidi/>
        <w:spacing w:after="160" w:before="0" w:line="360"/>
        <w:jc w:val="both"/>
      </w:pPr>
      <w:r>
        <w:rPr>
          <w:rFonts w:ascii="David" w:cs="David" w:eastAsia="David" w:hAnsi="David"/>
          <w:sz w:val="24"/>
          <w:szCs w:val="24"/>
          <w:rtl/>
        </w:rPr>
        <w:t xml:space="preserve">הנתונים העולמיים עקביים להפליא: נשים מהוות בדרך כלל בין עשירית לרבע מכלל המעצרים, ושיעורן יורד ככל שהעבירה חמורה יותר. בעבירות רצח, שוד ופריצה נשים מהוות אחוזים בודדים מן המבצעים, ואילו בעבירות רכוש קלות (גניבות מחנויות, הונאות קטנות וזיופים) חלקן עולה במידה ניכרת (Campaniello, 2019). באוכלוסיית האסירים הפער בולט עוד יותר: נשים מהוות בעולם כחמישה אחוזים בלבד מכלל הכלואים, ובישראל הן היוו בשנת 2017 כ-1.3% בלבד, 271 כלואות מתוך אוכלוסיית כלואים של כ-20 אלף (יכימוביץ-כהן, 2017). קמפניאלו (Campaniello, 2019) מציינת כי דפוס זה חוזר על עצמו כמעט בכל מדינה שנבדקה, על אף הבדלים עצומים בתרבות, בדת, ברמת הפיתוח ובשיטת המשפט, עובדה המחזקת את מעמדו של הפער המגדרי כתופעה חוצת-תרבויות הדורשת הסבר תיאורטי. עם זאת, כפי שיפורט בפרק הרביעי, מחקר היסטורי עדכני מטיל ספק דווקא באוניברסליות של הפער לאורך זמן.</w:t>
      </w:r>
    </w:p>
    <w:p>
      <w:pPr>
        <w:bidi/>
        <w:spacing w:after="160" w:before="0" w:line="360"/>
        <w:jc w:val="both"/>
      </w:pPr>
      <w:r>
        <w:rPr>
          <w:rFonts w:ascii="David" w:cs="David" w:eastAsia="David" w:hAnsi="David"/>
          <w:sz w:val="24"/>
          <w:szCs w:val="24"/>
          <w:rtl/>
        </w:rPr>
        <w:t xml:space="preserve">עם זאת, הפער אינו סטטי. במדינות מערביות רבות תועדה בעשורים האחרונים הצטמצמות מסוימת של הפער, בעיקר בעבירות רכוש ובעבירות אלימות קלה. כפי שיפורט בפרק הרביעי, מחקרים עדכניים חלוקים בשאלה האם ההצטמצמות משקפת עלייה ממשית בעבריינות נשים, ירידה בעבריינות גברים, או שינויי מדיניות אכיפה המרחיבים את הרישות הפלילי של התנהגויות נשיות (Estrada et al., 2016; Sela-Shayovitz, 2017).</w:t>
      </w:r>
    </w:p>
    <w:p>
      <w:pPr>
        <w:pStyle w:val="Heading2"/>
        <w:bidi/>
        <w:spacing w:after="120" w:before="240" w:line="360"/>
        <w:jc w:val="right"/>
      </w:pPr>
      <w:r>
        <w:rPr>
          <w:rFonts w:ascii="David" w:cs="David" w:eastAsia="David" w:hAnsi="David"/>
          <w:b/>
          <w:bCs/>
          <w:color w:val="000000"/>
          <w:sz w:val="26"/>
          <w:szCs w:val="26"/>
          <w:rtl/>
        </w:rPr>
        <w:t xml:space="preserve">1.3 מאפייני עבריינות הנשים</w:t>
      </w:r>
    </w:p>
    <w:p>
      <w:pPr>
        <w:bidi/>
        <w:spacing w:after="160" w:before="0" w:line="360"/>
        <w:jc w:val="both"/>
      </w:pPr>
      <w:r>
        <w:rPr>
          <w:rFonts w:ascii="David" w:cs="David" w:eastAsia="David" w:hAnsi="David"/>
          <w:sz w:val="24"/>
          <w:szCs w:val="24"/>
          <w:rtl/>
        </w:rPr>
        <w:t xml:space="preserve">דפוס העבריינות הנשית שונה מזה הגברי בכמה מאפיינים מובהקים. ראשית, תמהיל העבירות: עבריינות נשים מתרכזת בעבירות רכוש קלות, בעבירות סמים, בעבירות הקשורות בזנות ובעבירות הנובעות ממצוקה כלכלית, ואילו עבירות האלימות שהן מבצעות מתרחשות ברובן בתוך המרחב המשפחתי והזוגי, פעמים רבות על רקע של התעללות ממושכת שחוו הן עצמן (פרישטוק, 2019; Campaniello, 2019). שנית, התפקיד בעבירה: כאשר נשים שותפות לעבירות חמורות, הן ממלאות לרוב תפקידי משנה: מסייעות, מתווכות או פועלות בצילו של בן זוג דומיננטי. רק לעיתים נדירות הן יוזמות ומנהיגות (Campaniello, 2019).</w:t>
      </w:r>
    </w:p>
    <w:p>
      <w:pPr>
        <w:bidi/>
        <w:spacing w:after="160" w:before="0" w:line="360"/>
        <w:jc w:val="both"/>
      </w:pPr>
      <w:r>
        <w:rPr>
          <w:rFonts w:ascii="David" w:cs="David" w:eastAsia="David" w:hAnsi="David"/>
          <w:sz w:val="24"/>
          <w:szCs w:val="24"/>
          <w:rtl/>
        </w:rPr>
        <w:t xml:space="preserve">שלישית, מסלולי הכניסה לעבריינות: ספרות ה"נתיבים" (Pathways) מלמדת כי קורות חייהן של נשים עברייניות רצופים בשכיחות גבוהה במיוחד של קורבנות קודמת: התעללות מינית ופיזית בילדות, בריחה מהבית, חיי רחוב, התמכרות וזנות. אצל נערות רבות, העבירה הראשונה היא למעשה אסטרטגיית הישרדות: בריחה מבית פוגעני, גניבה לצורכי קיום או שימוש בסמים כהרדמה עצמית של הטראומה. כך מיטשטש אצל נשים הגבול המושגי בין קורבן לעבריינית באופן שאין לו מקבילה של ממש אצל גברים (יוכט, 2019; פרישטוק, 2019). רביעית, מאפייני רקע: נשים כלואות מתאפיינות בשיעורים גבוהים של עוני, השכלה נמוכה, אימהוּת יחידנית, קורבנות להתעללות פיזית ומינית, תחלואה נפשית והתמכרויות, ריבוי פגיעויות המבחין אותן מאוכלוסיית האסירים הגברית. נתונים אלה מתועדים גם בקרב הכלואות בישראל (יכימוביץ-כהן, 2017).</w:t>
      </w:r>
    </w:p>
    <w:p>
      <w:pPr>
        <w:pStyle w:val="Heading2"/>
        <w:bidi/>
        <w:spacing w:after="120" w:before="240" w:line="360"/>
        <w:jc w:val="right"/>
      </w:pPr>
      <w:r>
        <w:rPr>
          <w:rFonts w:ascii="David" w:cs="David" w:eastAsia="David" w:hAnsi="David"/>
          <w:b/>
          <w:bCs/>
          <w:color w:val="000000"/>
          <w:sz w:val="26"/>
          <w:szCs w:val="26"/>
          <w:rtl/>
        </w:rPr>
        <w:t xml:space="preserve">1.4 בעיית המדידה: פשיעה סמויה ואבירות</w:t>
      </w:r>
    </w:p>
    <w:p>
      <w:pPr>
        <w:bidi/>
        <w:spacing w:after="160" w:before="0" w:line="360"/>
        <w:jc w:val="both"/>
      </w:pPr>
      <w:r>
        <w:rPr>
          <w:rFonts w:ascii="David" w:cs="David" w:eastAsia="David" w:hAnsi="David"/>
          <w:sz w:val="24"/>
          <w:szCs w:val="24"/>
          <w:rtl/>
        </w:rPr>
        <w:t xml:space="preserve">חלק מן הדיון במאפייני התופעה נוגע לשאלה האם הפער הנמדד משקף פער אמיתי. פולק (Pollak, 1950, כפי שמצוטט אצל van der Heijden, 2024) טען בספרו הקלאסי כי עבריינות הנשים "סמויה" ברובה: היא מתרחשת במרחב הביתי, מכוונת כלפי קורבנות חלשים ואינה מדווחת; ומערכות האכיפה נוהגות בנשים ב"אבירות" (Chivalry): שוטרים נמנעים מלעצור אותן, תובעים מקילים בכתבי אישום ושופטים גוזרים עונשים מתונים. מחקרים מאוחרים מצאו תמיכה חלקית בלבד בהשערת האבירות: הקלה מסוימת קיימת בעבירות קלות ובנסיבות "נשיות" מסורתיות, אך היא נעלמת ואף מתהפכת כאשר האישה חורגת בבוטות מן התפקיד המגדרי המצופה. כך או כך, גם סקרי דיווח עצמי, שאינם תלויים במערכות האכיפה, מאשרים פער מגדרי ניכר, בעיקר בעבירות החמורות, ומכאן שהפער אינו ניתן לצמצום מלא להטיית מדידה (Savolainen et al., 2017).</w:t>
      </w:r>
    </w:p>
    <w:p>
      <w:pPr>
        <w:pStyle w:val="Heading1"/>
        <w:pageBreakBefore/>
        <w:bidi/>
        <w:spacing w:after="240" w:before="240" w:line="360"/>
        <w:jc w:val="center"/>
      </w:pPr>
      <w:r>
        <w:rPr>
          <w:rFonts w:ascii="David" w:cs="David" w:eastAsia="David" w:hAnsi="David"/>
          <w:b/>
          <w:bCs/>
          <w:color w:val="000000"/>
          <w:sz w:val="30"/>
          <w:szCs w:val="30"/>
          <w:rtl/>
        </w:rPr>
        <w:t xml:space="preserve">פרק שני: היחס ביהדות לנושא</w:t>
      </w:r>
    </w:p>
    <w:p>
      <w:pPr>
        <w:pStyle w:val="Heading2"/>
        <w:bidi/>
        <w:spacing w:after="120" w:before="240" w:line="360"/>
        <w:jc w:val="right"/>
      </w:pPr>
      <w:r>
        <w:rPr>
          <w:rFonts w:ascii="David" w:cs="David" w:eastAsia="David" w:hAnsi="David"/>
          <w:b/>
          <w:bCs/>
          <w:color w:val="000000"/>
          <w:sz w:val="26"/>
          <w:szCs w:val="26"/>
          <w:rtl/>
        </w:rPr>
        <w:t xml:space="preserve">2.1 שוויון באחריות הפלילית: האישה כסובייקט מוסרי מלא</w:t>
      </w:r>
    </w:p>
    <w:p>
      <w:pPr>
        <w:bidi/>
        <w:spacing w:after="160" w:before="0" w:line="360"/>
        <w:jc w:val="both"/>
      </w:pPr>
      <w:r>
        <w:rPr>
          <w:rFonts w:ascii="David" w:cs="David" w:eastAsia="David" w:hAnsi="David"/>
          <w:sz w:val="24"/>
          <w:szCs w:val="24"/>
          <w:rtl/>
        </w:rPr>
        <w:t xml:space="preserve">נקודת המוצא של המשפט העברי בסוגיית האישה והעבירה היא עקרונית וחד-משמעית: האישה היא בת-דעת, בעלת בחירה חופשית ואחראית למעשיה בדיוק כמו הגבר. התורה קובעת: "אִישׁ אוֹ אִשָּׁה כִּי יַעֲשׂוּ מִכָּל חַטֹּאת הָאָדָם" (במדבר ה, ו), וחז"ל למדו מפסוקים אלה כלל יסוד: "השווה הכתוב אישה לאיש לכל עונשין שבתורה" (בבא קמא טו ע"א). משמעות הדבר היא שדיני העונשין, על כל חומרתם, חלים על נשים ועל גברים באופן זהה: אין "הנחה מגדרית" באחריות הפלילית, אין פטור מטעמי חולשה נטענת, ואין ראייה של האישה כמי שאינה שולטת במעשיה.</w:t>
      </w:r>
    </w:p>
    <w:p>
      <w:pPr>
        <w:bidi/>
        <w:spacing w:after="160" w:before="0" w:line="360"/>
        <w:jc w:val="both"/>
      </w:pPr>
      <w:r>
        <w:rPr>
          <w:rFonts w:ascii="David" w:cs="David" w:eastAsia="David" w:hAnsi="David"/>
          <w:sz w:val="24"/>
          <w:szCs w:val="24"/>
          <w:rtl/>
        </w:rPr>
        <w:t xml:space="preserve">עיקרון זה בולט דווקא על רקע השוואתי: בשעה שהקרימינולוגיה המדעית של המאה התשע-עשרה עוד תיארה את האישה העבריינית כיצור נחות ופגום ביולוגית, כפי שיפורט בפרק השלישי, המסורת ההלכתית העמידה מאות שנים קודם לכן את האישה כסובייקט מוסרי מלא. בן יאיר (2021) מדגיש כי תפיסת האדם ביהדות (כל אדם) מבוססת על מתח מתמיד בין יצר הרע ליצר הטוב ועל חופש הבחירה ביניהם: "כִּי יֵצֶר לֵב הָאָדָם רַע מִנְּעֻרָיו" (בראשית ח, כא) נאמר על האדם באשר הוא, ולא על מין מסוים. העבירה אינה גזירת גורל ביולוגית אלא הכרעה מוסרית, והתשובה, התיקון, פתוחה לכול.</w:t>
      </w:r>
    </w:p>
    <w:p>
      <w:pPr>
        <w:pStyle w:val="Heading2"/>
        <w:bidi/>
        <w:spacing w:after="120" w:before="240" w:line="360"/>
        <w:jc w:val="right"/>
      </w:pPr>
      <w:r>
        <w:rPr>
          <w:rFonts w:ascii="David" w:cs="David" w:eastAsia="David" w:hAnsi="David"/>
          <w:b/>
          <w:bCs/>
          <w:color w:val="000000"/>
          <w:sz w:val="26"/>
          <w:szCs w:val="26"/>
          <w:rtl/>
        </w:rPr>
        <w:t xml:space="preserve">2.2 "בינה יתרה" ו"דעתן קלה": תפיסת הנפש הנשית בחז"ל</w:t>
      </w:r>
    </w:p>
    <w:p>
      <w:pPr>
        <w:bidi/>
        <w:spacing w:after="160" w:before="0" w:line="360"/>
        <w:jc w:val="both"/>
      </w:pPr>
      <w:r>
        <w:rPr>
          <w:rFonts w:ascii="David" w:cs="David" w:eastAsia="David" w:hAnsi="David"/>
          <w:sz w:val="24"/>
          <w:szCs w:val="24"/>
          <w:rtl/>
        </w:rPr>
        <w:t xml:space="preserve">לצד השוויון באחריות, חז"ל התייחסו להבדלים נפשיים בין המינים בשני מאמרים הנראים סותרים. מצד אחד: "בינה יתרה ניתנה באישה יותר מבאיש" (נדה מה ע"ב): לנשים מיוחסת בשלות שיפוטית מוקדמת יותר, ואכן ההלכה מחילה על הבת אחריות למצוות בגיל שתים-עשרה, שנה לפני הבן. מצד שני: "נשים דעתן קלה עליהן" (שבת לג ע"ב; קידושין פ ע"ב), אמירה שהובנה בהקשרה כמתייחסת לפגיעוּת בסיטואציות של לחץ ופיתוי מסוימים, ולא כשלילת כשרותן השכלית או המוסרית.</w:t>
      </w:r>
    </w:p>
    <w:p>
      <w:pPr>
        <w:bidi/>
        <w:spacing w:after="160" w:before="0" w:line="360"/>
        <w:jc w:val="both"/>
      </w:pPr>
      <w:r>
        <w:rPr>
          <w:rFonts w:ascii="David" w:cs="David" w:eastAsia="David" w:hAnsi="David"/>
          <w:sz w:val="24"/>
          <w:szCs w:val="24"/>
          <w:rtl/>
        </w:rPr>
        <w:t xml:space="preserve">מנקודת מבט קרימינולוגית, מעניין ששני המאמרים גם יחד מתיישבים עם ממצאי המחקר המודרני דווקא. ייחוס "בינה יתרה" עולה בקנה אחד עם ממצאים עקביים על התפתחות מוקדמת יותר של שליטה עצמית ושל אמפתיה אצל בנות, שהם גורמי מגן מרכזיים מפני עבריינות; ואילו ההכרה בפגיעות מצבית מסוימת מהדהדת את ספרות הנתיבים, המלמדת כי כניסת נשים לעבריינות מתווכת פעמים רבות על ידי יחסי תלות ופיתוי מצד גברים דומיננטיים (יוכט, 2019). חז"ל, בלשונם, זיהו אפוא הן את החוסן המוסרי הנשי הן את נקודות התורפה המצביות, מבלי לגרוע מן האחריות המשפטית.</w:t>
      </w:r>
    </w:p>
    <w:p>
      <w:pPr>
        <w:pStyle w:val="Heading2"/>
        <w:bidi/>
        <w:spacing w:after="120" w:before="240" w:line="360"/>
        <w:jc w:val="right"/>
      </w:pPr>
      <w:r>
        <w:rPr>
          <w:rFonts w:ascii="David" w:cs="David" w:eastAsia="David" w:hAnsi="David"/>
          <w:b/>
          <w:bCs/>
          <w:color w:val="000000"/>
          <w:sz w:val="26"/>
          <w:szCs w:val="26"/>
          <w:rtl/>
        </w:rPr>
        <w:t xml:space="preserve">2.3 צניעות, תפקיד חברתי ופיקוח בלתי פורמלי</w:t>
      </w:r>
    </w:p>
    <w:p>
      <w:pPr>
        <w:bidi/>
        <w:spacing w:after="160" w:before="0" w:line="360"/>
        <w:jc w:val="both"/>
      </w:pPr>
      <w:r>
        <w:rPr>
          <w:rFonts w:ascii="David" w:cs="David" w:eastAsia="David" w:hAnsi="David"/>
          <w:sz w:val="24"/>
          <w:szCs w:val="24"/>
          <w:rtl/>
        </w:rPr>
        <w:t xml:space="preserve">המנגנון המרכזי שהיהדות עיצבה ביחס לנשים אינו עונשי אלא מבני-חברתי. ערך הצניעות, "כָּל כְּבוּדָּה בַת מֶלֶךְ פְּנִימָה" (תהלים מה, יד), עיצב לאישה מרחב פעולה שמרכזו הבית, המשפחה והקהילה. מסגרת חיים זו, יהיו מגבלותיה אשר יהיו, פעלה הלכה למעשה כמערך צפוף של פיקוח חברתי בלתי פורמלי: קשרים משפחתיים הדוקים, נראוּת קהילתית גבוהה, שגרת חיים מובנית סביב מצוות ומועדים, וריחוק פיזי מן הזירות שבהן מתרחשת עבריינות רחוב: שתייה, כנופיות, נשק ושוק הפשיעה. בלשונה של הקרימינולוגיה המודרנית: היהדות מיסדה עבור נשים רמות גבוהות במיוחד של קשר (Attachment), מחויבות (Commitment) ומעורבות (Involvement), שלושת יסודות הפיקוח החברתי שיזוהו רק במאה העשרים כגורמי המגן החזקים ביותר מפני עבריינות (לרנאו, 2023).</w:t>
      </w:r>
    </w:p>
    <w:p>
      <w:pPr>
        <w:bidi/>
        <w:spacing w:after="160" w:before="0" w:line="360"/>
        <w:jc w:val="both"/>
      </w:pPr>
      <w:r>
        <w:rPr>
          <w:rFonts w:ascii="David" w:cs="David" w:eastAsia="David" w:hAnsi="David"/>
          <w:sz w:val="24"/>
          <w:szCs w:val="24"/>
          <w:rtl/>
        </w:rPr>
        <w:t xml:space="preserve">אין בכך טענה שהיהדות "מנעה" עבריינות נשים באורח מיסטי, אלא שהסדר החברתי ההלכתי ייצר בפועל את התנאים שהקרימינולוגיה מזהה כמפחיתי פשיעה. פרישטוק (2019) מראה כי המסורת היהודית פיתחה גם רגישות ייחודית לצד השני של המטבע, האישה כקורבן: דיני אונס ומפתה, הגנת "צעקה" לנערה המאורסה (דברים כב, כז), וחובת הקהילה כלפי החלשים, "אַלְמָנָה וְיָתוֹם לֹא תְעַנּוּן" (שמות כב, כא). בכך זיהתה המסורת, בדרכה, את הקשר שבין קורבנוּת לפגיעוּת חברתית, קשר העומד היום במרכז הוויקטימולוגיה הפמיניסטית.</w:t>
      </w:r>
    </w:p>
    <w:p>
      <w:pPr>
        <w:pStyle w:val="Heading2"/>
        <w:bidi/>
        <w:spacing w:after="120" w:before="240" w:line="360"/>
        <w:jc w:val="right"/>
      </w:pPr>
      <w:r>
        <w:rPr>
          <w:rFonts w:ascii="David" w:cs="David" w:eastAsia="David" w:hAnsi="David"/>
          <w:b/>
          <w:bCs/>
          <w:color w:val="000000"/>
          <w:sz w:val="26"/>
          <w:szCs w:val="26"/>
          <w:rtl/>
        </w:rPr>
        <w:t xml:space="preserve">2.4 דמויות נשיות במקרא: בין חטא, פיתוי וגבורה מוסרית</w:t>
      </w:r>
    </w:p>
    <w:p>
      <w:pPr>
        <w:bidi/>
        <w:spacing w:after="160" w:before="0" w:line="360"/>
        <w:jc w:val="both"/>
      </w:pPr>
      <w:r>
        <w:rPr>
          <w:rFonts w:ascii="David" w:cs="David" w:eastAsia="David" w:hAnsi="David"/>
          <w:sz w:val="24"/>
          <w:szCs w:val="24"/>
          <w:rtl/>
        </w:rPr>
        <w:t xml:space="preserve">המקרא מציג קשת רחבה של דמויות נשיות ביחס לעבירה, באופן המסרב לסטריאוטיפ אחיד. מצד אחד ניצבות דמויות המפתה והמחטיאה: חוה והנחש (בראשית ג), אשת פוטיפר המנסה להדיח את יוסף ומעלילה עליו עלילת שווא כשנכשלה (בראשית לט), דלילה ואיזבל שרקמה את משפט השווא של נבות היזרעאלי (מלכים א כא). מצד שני, והמסורת מעניקה לכך משקל רב יותר, ניצבות נשים כסוכנות מוסר המונעות עבירה: המיילדות העבריות המסרבות לפקודת רצח (שמות א), אביגיל העוצרת את דוד מהקזת דם נקי (שמואל א כה), ומאמר חז"ל המפורסם: "בשכר נשים צדקניות שהיו באותו הדור נגאלו ישראל ממצרים" (סוטה יא ע"ב).</w:t>
      </w:r>
    </w:p>
    <w:p>
      <w:pPr>
        <w:bidi/>
        <w:spacing w:after="160" w:before="0" w:line="360"/>
        <w:jc w:val="both"/>
      </w:pPr>
      <w:r>
        <w:rPr>
          <w:rFonts w:ascii="David" w:cs="David" w:eastAsia="David" w:hAnsi="David"/>
          <w:sz w:val="24"/>
          <w:szCs w:val="24"/>
          <w:rtl/>
        </w:rPr>
        <w:t xml:space="preserve">קריאה קרימינולוגית של מקורות אלה מגלה תפיסה דו-ערכית מודעת: האישה יכולה להיות גורם קרימינוגני, בעיקר בתפקיד עקיף של הסתה ופיתוי, בדפוס המזכיר את ממצאי המחקר על תפקידי המשנה של נשים בעבירות. עם זאת, היא מוצגת בראש ובראשונה ככוח מרסן ומתקן. חז"ל אף העניקו לאישה תפקיד מפורש במניעת עבריינות של אחרים ובעיצובם המוסרי של בני הבית, ותלו את חורבן הבית ואת גאולתו במעשיהן. תפיסה זו מקבילה באופן מפתיע לממצא הקרימינולוגי המודרני שלפיו נישואין וקשר זוגי יציב עם אישה נורמטיבית הם מנקודות המפנה החשובות ביותר בחדילת גברים מפשיעה (לרנאו, 2023).</w:t>
      </w:r>
    </w:p>
    <w:p>
      <w:pPr>
        <w:bidi/>
        <w:spacing w:after="160" w:before="0" w:line="360"/>
        <w:jc w:val="both"/>
      </w:pPr>
      <w:r>
        <w:rPr>
          <w:rFonts w:ascii="David" w:cs="David" w:eastAsia="David" w:hAnsi="David"/>
          <w:sz w:val="24"/>
          <w:szCs w:val="24"/>
          <w:rtl/>
        </w:rPr>
        <w:t xml:space="preserve">ברק-ארז (2023) מוסיפה לקריאה זו ממד משפטי. עיון בסיפורי המקרא מגלה נשים כשחקניות פעילות בעולם המשפט: שופטת (דבורה) ומתדיינות העומדות על זכויותיהן (בנות צלפחד, האישה החכמה מתקוע, תמר ורות), דווקא מעמדת נחיתות חברתית. לענייננו מכרעת האבחנה שהיא מציעה בין נשים שפעלו בתוך המערכת המשפטית לבין נשים שנקטו אי-ציות לחוק בנסיבות שבהן לא עמדה לרשותן כל ערכאה שיכולה הייתה לסייע, ובראשן המיילדות העבריות שסירבו לגזרת פרעה. אבחנה זו מטרימה את הממצא הקרימינולוגי המודרני: מקום שבו נחסמת בפני נשים הגישה לצדק ולאמצעים לגיטימיים, שם צומחת העבירה הנשית, על פי רוב כעבירת הישרדות והגנה. הרחבת הגישה לצדק מתגלה אפוא, כבר בקריאה המקראית, כמנגנון של מניעת עבריינות.</w:t>
      </w:r>
    </w:p>
    <w:p>
      <w:pPr>
        <w:pStyle w:val="Heading2"/>
        <w:bidi/>
        <w:spacing w:after="120" w:before="240" w:line="360"/>
        <w:jc w:val="right"/>
      </w:pPr>
      <w:r>
        <w:rPr>
          <w:rFonts w:ascii="David" w:cs="David" w:eastAsia="David" w:hAnsi="David"/>
          <w:b/>
          <w:bCs/>
          <w:color w:val="000000"/>
          <w:sz w:val="26"/>
          <w:szCs w:val="26"/>
          <w:rtl/>
        </w:rPr>
        <w:t xml:space="preserve">2.5 מנגנונים מגדריים ייחודיים: סוטה כהרתעה ממוקדת</w:t>
      </w:r>
    </w:p>
    <w:p>
      <w:pPr>
        <w:bidi/>
        <w:spacing w:after="160" w:before="0" w:line="360"/>
        <w:jc w:val="both"/>
      </w:pPr>
      <w:r>
        <w:rPr>
          <w:rFonts w:ascii="David" w:cs="David" w:eastAsia="David" w:hAnsi="David"/>
          <w:sz w:val="24"/>
          <w:szCs w:val="24"/>
          <w:rtl/>
        </w:rPr>
        <w:t xml:space="preserve">המנגנון ההלכתי המגדרי המובהק ביותר בתחום העבירה הוא פרשת סוטה (במדבר ה, יא-לא), הליך טקסי לבירור חשד לניאוף של אשת איש. מנקודת מבט קרימינולוגית מודרנית ניתן לנתח את ההליך ככלי הרתעה והרגעה כאחד: מחד גיסא, עצם קיומו של ההליך הפומבי יצר הרתעה ממוקדת בעבירה שנתפסה כמאיימת על התא המשפחתי; מאידך גיסא, ההליך הגן על האישה מפני שפיטה אלימה של בעל קנאי, בכך שהפקיע את הבירור מידיו והעבירו למסגרת ממוסדת ומבוקרת. חז"ל עצמם ביטלו את ההליך בשלהי ימי הבית השני בנימוק ש"משרבו המנאפים פסקו המים" (סוטה מז ע"א). כלומר, מנגנון שאיבד את בסיסו המוסרי ההדדי איבד את תוקפו. יש כאן דוגמה מרתקת לחשיבה מוסדית דינמית על ענישה והרתעה, ברוח שהקרימינולוגיה הניאו-קלאסית תפתח רק מאות שנים לאחר מכן.</w:t>
      </w:r>
    </w:p>
    <w:p>
      <w:pPr>
        <w:bidi/>
        <w:spacing w:after="160" w:before="0" w:line="360"/>
        <w:jc w:val="both"/>
      </w:pPr>
      <w:r>
        <w:rPr>
          <w:rFonts w:ascii="David" w:cs="David" w:eastAsia="David" w:hAnsi="David"/>
          <w:sz w:val="24"/>
          <w:szCs w:val="24"/>
          <w:rtl/>
        </w:rPr>
        <w:t xml:space="preserve">לסיכום הפרק: היהדות מסבירה את מיעוט העבריינות הנשית לא בנחיתות או בחולשה של האישה, אלא במשולב: אחריות מוסרית מלאה, ייחוס כושר שיפוט מוסרי גבוה ("בינה יתרה"), ומבנה חיים חברתי-משפחתי המרחיק את האישה מזירות העבירה ועוטף אותה בפיקוח בלתי פורמלי צפוף. בה בעת שימרה המסורת מודעות לפגיעות מצבית וקבעה מנגנוני הגנה והרתעה ייחודיים. עמדה משולבת זו תשמש בסיס להשוואה עם הגישות הקרימינולוגיות שיוצגו כעת.</w:t>
      </w:r>
    </w:p>
    <w:p>
      <w:pPr>
        <w:pStyle w:val="Heading1"/>
        <w:pageBreakBefore/>
        <w:bidi/>
        <w:spacing w:after="240" w:before="240" w:line="360"/>
        <w:jc w:val="center"/>
      </w:pPr>
      <w:r>
        <w:rPr>
          <w:rFonts w:ascii="David" w:cs="David" w:eastAsia="David" w:hAnsi="David"/>
          <w:b/>
          <w:bCs/>
          <w:color w:val="000000"/>
          <w:sz w:val="30"/>
          <w:szCs w:val="30"/>
          <w:rtl/>
        </w:rPr>
        <w:t xml:space="preserve">פרק שלישי: גישות בקרימינולוגיה המסבירות את הנושא</w:t>
      </w:r>
    </w:p>
    <w:p>
      <w:pPr>
        <w:pStyle w:val="Heading2"/>
        <w:bidi/>
        <w:spacing w:after="120" w:before="240" w:line="360"/>
        <w:jc w:val="right"/>
      </w:pPr>
      <w:r>
        <w:rPr>
          <w:rFonts w:ascii="David" w:cs="David" w:eastAsia="David" w:hAnsi="David"/>
          <w:b/>
          <w:bCs/>
          <w:color w:val="000000"/>
          <w:sz w:val="26"/>
          <w:szCs w:val="26"/>
          <w:rtl/>
        </w:rPr>
        <w:t xml:space="preserve">3.1 הגישות המוקדמות: ביולוגיזציה של האישה העבריינית</w:t>
      </w:r>
    </w:p>
    <w:p>
      <w:pPr>
        <w:bidi/>
        <w:spacing w:after="160" w:before="0" w:line="360"/>
        <w:jc w:val="both"/>
      </w:pPr>
      <w:r>
        <w:rPr>
          <w:rFonts w:ascii="David" w:cs="David" w:eastAsia="David" w:hAnsi="David"/>
          <w:sz w:val="24"/>
          <w:szCs w:val="24"/>
          <w:rtl/>
        </w:rPr>
        <w:t xml:space="preserve">העיסוק המדעי הראשון בפשיעת נשים נעשה בידי צ'זרה לומברוזו, אבי האסכולה הפוזיטיביסטית, שפרסם עם חתנו פררו בשנת 1895 את "האישה העבריינית" (Lombroso &amp; Ferrero, 1895, כפי שמצוטט אצל Naegler &amp; Salman, 2016). לומברוזו טען כי נשים עברייניות הן "גברים מנוונים", יצורים אטביסטיים שלא התפתחו כראוי, וכי מיעוט העבריינות הנשית נובע מנחיתות אבולוציונית: פסיביות, היעדר יוזמה ותבונה מוגבלת. האישה העבריינית, לשיטתו, סוטה כפליים, מן החוק ומן הטבע הנשי, ולכן היא מסוכנת ואכזרית מן הגבר העבריין. הנחות אלה, שאין להן כל ביסוס אמפירי, שלטו בשיח במשך עשורים והזינו יחס מפלה כלפי נשים במערכת אכיפת החוק (Naegler &amp; Salman, 2016).</w:t>
      </w:r>
    </w:p>
    <w:p>
      <w:pPr>
        <w:bidi/>
        <w:spacing w:after="160" w:before="0" w:line="360"/>
        <w:jc w:val="both"/>
      </w:pPr>
      <w:r>
        <w:rPr>
          <w:rFonts w:ascii="David" w:cs="David" w:eastAsia="David" w:hAnsi="David"/>
          <w:sz w:val="24"/>
          <w:szCs w:val="24"/>
          <w:rtl/>
        </w:rPr>
        <w:t xml:space="preserve">פולק (Pollak, 1950, כפי שמצוטט אצל van der Heijden, 2024) המשיך קו מהותני זה בגרסה מתוחכמת יותר: לטענתו נשים עברייניות לא פחות מגברים, אלא ערמומיות יותר: הן מסתירות את עבריינותן במרחב הביתי ומנצלות את האבירות הגברית של מערכת האכיפה. אף שהשערת הפשיעה הסמויה הופרכה ברובה, תרומתו של פולק הייתה בהפניית הזרקור לשאלות המדידה והתיוג, שנותרו מרכזיות במחקר עד היום.</w:t>
      </w:r>
    </w:p>
    <w:p>
      <w:pPr>
        <w:pStyle w:val="Heading2"/>
        <w:bidi/>
        <w:spacing w:after="120" w:before="240" w:line="360"/>
        <w:jc w:val="right"/>
      </w:pPr>
      <w:r>
        <w:rPr>
          <w:rFonts w:ascii="David" w:cs="David" w:eastAsia="David" w:hAnsi="David"/>
          <w:b/>
          <w:bCs/>
          <w:color w:val="000000"/>
          <w:sz w:val="26"/>
          <w:szCs w:val="26"/>
          <w:rtl/>
        </w:rPr>
        <w:t xml:space="preserve">3.2 הסברים פסיכולוגיים במבחן המגדר</w:t>
      </w:r>
    </w:p>
    <w:p>
      <w:pPr>
        <w:bidi/>
        <w:spacing w:after="160" w:before="0" w:line="360"/>
        <w:jc w:val="both"/>
      </w:pPr>
      <w:r>
        <w:rPr>
          <w:rFonts w:ascii="David" w:cs="David" w:eastAsia="David" w:hAnsi="David"/>
          <w:sz w:val="24"/>
          <w:szCs w:val="24"/>
          <w:rtl/>
        </w:rPr>
        <w:t xml:space="preserve">לצד ההסברים הסוציולוגיים פיתחה הקרימינולוגיה גם הסברים פסיכולוגיים לעבריינות, ואף הם קיבלו צביון מגדרי. הגישה הפסיכואנליטית המוקדמת תלתה את העבריינות בכשלים התפתחותיים של מבני האישיות ובדחפים שלא עברו עיבוד (לרנאו, 2023), ובהקשר המגדרי נטתה לראות בעבריינית מי שחרגה מתפקידה הנשי, ברוח ההסברים המהותניים שנדונו לעיל. מושג פורה יותר לענייננו הוא טכניקות הנטרול, אותן הצדקות שמספר לעצמו העבריין כדי להשתיק את קול המצפון לפני העבירה ובמהלכה (לרנאו, 2023). במבחן המגדר, הטכניקות הללו מאירות את שני צידי הפער. מצד אחד, נשים נדרשות למאמץ נטרול גדול יותר: העבירה סותרת אצלן לא רק נורמה חוקית אלא גם את הציפיות המגדריות המופנמות, ולכן קול המצפון שיש להשתיק חזק יותר. מצד שני, כאשר העבירה מבוצעת למען אחרים, כפי שקורה בשכיחות גבוהה אצל נשים, ההצדקה של הקרבה למען המשפחה זמינה וחזקה במיוחד, כפי שהודגם בפרשת אלון (יוכט, 2019). ההסבר הפסיכולוגי אינו מתחרה אפוא בהסבר החברתי אלא משלים אותו: הנורמות המגדריות פועלות גם מבפנים, דרך המצפון וההצדקות.</w:t>
      </w:r>
    </w:p>
    <w:p>
      <w:pPr>
        <w:pStyle w:val="Heading2"/>
        <w:bidi/>
        <w:spacing w:after="120" w:before="240" w:line="360"/>
        <w:jc w:val="right"/>
      </w:pPr>
      <w:r>
        <w:rPr>
          <w:rFonts w:ascii="David" w:cs="David" w:eastAsia="David" w:hAnsi="David"/>
          <w:b/>
          <w:bCs/>
          <w:color w:val="000000"/>
          <w:sz w:val="26"/>
          <w:szCs w:val="26"/>
          <w:rtl/>
        </w:rPr>
        <w:t xml:space="preserve">3.3 הביקורת הפמיניסטית ותיאוריות האמנציפציה</w:t>
      </w:r>
    </w:p>
    <w:p>
      <w:pPr>
        <w:bidi/>
        <w:spacing w:after="160" w:before="0" w:line="360"/>
        <w:jc w:val="both"/>
      </w:pPr>
      <w:r>
        <w:rPr>
          <w:rFonts w:ascii="David" w:cs="David" w:eastAsia="David" w:hAnsi="David"/>
          <w:sz w:val="24"/>
          <w:szCs w:val="24"/>
          <w:rtl/>
        </w:rPr>
        <w:t xml:space="preserve">הקרימינולוגיה הפמיניסטית, שצמחה משנות השבעים ואילך, פתחה בביקורת כפולה על הדיסציפלינה: התעלמות, שבה נשים פשוט נעדרו מן המחקר ומן התיאוריה; ועיוות, שבו הן נותחו באמצעות סטריאוטיפים מיניים ומהותניים (Naegler &amp; Salman, 2016). על רקע זה צמחה "תיאוריית האמנציפציה": אדלר (Adler, 1975, כפי שמצוטט אצל Estrada et al., 2016) טענה בספרה "אחיות בפשע" כי השחרור הנשי יביא להתכנסות דפוסי הפשיעה: ככל שנשים ישתלבו בשוק העבודה ובעמדות כוח, כך תעלה עבריינותן ותידמה לזו הגברית. גרסה מתונה של התיאוריה גרסה כי ההשתלבות התעסוקתית תרחיב בעיקר את הזדמנויותיהן של נשים לעבירות רכוש וצווארון לבן (Campaniello, 2019).</w:t>
      </w:r>
    </w:p>
    <w:p>
      <w:pPr>
        <w:bidi/>
        <w:spacing w:after="160" w:before="0" w:line="360"/>
        <w:jc w:val="both"/>
      </w:pPr>
      <w:r>
        <w:rPr>
          <w:rFonts w:ascii="David" w:cs="David" w:eastAsia="David" w:hAnsi="David"/>
          <w:sz w:val="24"/>
          <w:szCs w:val="24"/>
          <w:rtl/>
        </w:rPr>
        <w:t xml:space="preserve">הביקורת האמפירית על התיאוריה הייתה חריפה: העלייה בעבריינות נשים התרכזה דווקא בעבירות רכוש קלות של נשים עניות ומודרות, הרחוקות ביותר מפירות השחרור, ולא בקרב נשות הקריירה; והפער בעבירות האלימות החמורות נותר יציב. עם זאת, לתיאוריה נודעת חשיבות היסטורית: היא העמידה לראשונה את המבנה החברתי המגדרי, ולא את הביולוגיה, כמשתנה המסביר המרכזי (Estrada et al., 2016).</w:t>
      </w:r>
    </w:p>
    <w:p>
      <w:pPr>
        <w:pStyle w:val="Heading2"/>
        <w:bidi/>
        <w:spacing w:after="120" w:before="240" w:line="360"/>
        <w:jc w:val="right"/>
      </w:pPr>
      <w:r>
        <w:rPr>
          <w:rFonts w:ascii="David" w:cs="David" w:eastAsia="David" w:hAnsi="David"/>
          <w:b/>
          <w:bCs/>
          <w:color w:val="000000"/>
          <w:sz w:val="26"/>
          <w:szCs w:val="26"/>
          <w:rtl/>
        </w:rPr>
        <w:t xml:space="preserve">3.4 הקרימינולוגיה הפמיניסטית הרדיקלית: פטריארכיה, קורבנות והפללה</w:t>
      </w:r>
    </w:p>
    <w:p>
      <w:pPr>
        <w:bidi/>
        <w:spacing w:after="160" w:before="0" w:line="360"/>
        <w:jc w:val="both"/>
      </w:pPr>
      <w:r>
        <w:rPr>
          <w:rFonts w:ascii="David" w:cs="David" w:eastAsia="David" w:hAnsi="David"/>
          <w:sz w:val="24"/>
          <w:szCs w:val="24"/>
          <w:rtl/>
        </w:rPr>
        <w:t xml:space="preserve">צ'סני-לינד (Chesney-Lind, 1989, כפי שמצוטט אצל Naegler &amp; Salman, 2016) הציבה במרכז ההסבר את הפטריארכיה כמבנה כוח. לטענתה, אין להבין את עבריינות הנערות במנותק מקורבנותן: שיעורים גבוהים מהן נמלטות מבתים פוגעניים מינית, והמערכת, שהופקדה כביכול על הגנתן, מפלילה דווקא את אסטרטגיות ההישרדות שלהן: בריחה מהבית, שוטטות, זנות. כך נוצר "מסלול ההפללה של הקורבן": פגיעה, בריחה, חיי רחוב, עבריינות קיום, כליאה. התיאוריה מסבירה גם את הפער המגדרי עצמו: הפיקוח הפטריארכלי ההדוק על בנות, בבית, בקהילה ובמערכת המשפט לנוער, מצמצם את חופש התנועה שלהן ובכך גם את הזדמנויות העבירה, אך במחיר שליטה בגופן ובחירותן.</w:t>
      </w:r>
    </w:p>
    <w:p>
      <w:pPr>
        <w:pStyle w:val="Heading2"/>
        <w:bidi/>
        <w:spacing w:after="120" w:before="240" w:line="360"/>
        <w:jc w:val="right"/>
      </w:pPr>
      <w:r>
        <w:rPr>
          <w:rFonts w:ascii="David" w:cs="David" w:eastAsia="David" w:hAnsi="David"/>
          <w:b/>
          <w:bCs/>
          <w:color w:val="000000"/>
          <w:sz w:val="26"/>
          <w:szCs w:val="26"/>
          <w:rtl/>
        </w:rPr>
        <w:t xml:space="preserve">3.5 תיאוריית הכוח-שליטה: המשפחה כזירת המפתח</w:t>
      </w:r>
    </w:p>
    <w:p>
      <w:pPr>
        <w:bidi/>
        <w:spacing w:after="160" w:before="0" w:line="360"/>
        <w:jc w:val="both"/>
      </w:pPr>
      <w:r>
        <w:rPr>
          <w:rFonts w:ascii="David" w:cs="David" w:eastAsia="David" w:hAnsi="David"/>
          <w:sz w:val="24"/>
          <w:szCs w:val="24"/>
          <w:rtl/>
        </w:rPr>
        <w:t xml:space="preserve">הייגן ועמיתיו (Hagan et al., 1985, כפי שמצוטט אצל Savolainen et al., 2017) הציעו את תיאוריית הכוח-שליטה (Power-Control Theory), הממקמת את מקור הפער המגדרי במבנה המשפחה. במשפחות פטריארכליות, שבהן האב שולט במשאבים, הבנות נתונות לפיקוח אימהי אינטנסיבי ומחונכות לסלידה מסיכון, ואילו הבנים זוכים לחופש ומעודדים ליטול סיכונים, ומכאן פער מגדרי גדול בעבריינות. במשפחות שוויוניות, שבהן שני ההורים חולקים כוח, הפיקוח על בנות ובנים מתאזן, והפער המגדרי בעבריינות הקלה מצטמצם. התיאוריה זכתה לתמיכה אמפירית חלקית, אך חשיבותה בזיהוי המנגנון: הפער המגדרי אינו נתון טבעי אלא תוצר של חלוקת פיקוח דיפרנציאלית בתוך המשפחה, מנגנון שיידון בהרחבה בהשוואה ליהדות בפרק החמישי.</w:t>
      </w:r>
    </w:p>
    <w:p>
      <w:pPr>
        <w:pStyle w:val="Heading2"/>
        <w:bidi/>
        <w:spacing w:after="120" w:before="240" w:line="360"/>
        <w:jc w:val="right"/>
      </w:pPr>
      <w:r>
        <w:rPr>
          <w:rFonts w:ascii="David" w:cs="David" w:eastAsia="David" w:hAnsi="David"/>
          <w:b/>
          <w:bCs/>
          <w:color w:val="000000"/>
          <w:sz w:val="26"/>
          <w:szCs w:val="26"/>
          <w:rtl/>
        </w:rPr>
        <w:t xml:space="preserve">3.6 תיאוריות הזרם המרכזי במבחן המגדר: אנומיה, פעילות שגרתית ולחץ</w:t>
      </w:r>
    </w:p>
    <w:p>
      <w:pPr>
        <w:bidi/>
        <w:spacing w:after="160" w:before="0" w:line="360"/>
        <w:jc w:val="both"/>
      </w:pPr>
      <w:r>
        <w:rPr>
          <w:rFonts w:ascii="David" w:cs="David" w:eastAsia="David" w:hAnsi="David"/>
          <w:sz w:val="24"/>
          <w:szCs w:val="24"/>
          <w:rtl/>
        </w:rPr>
        <w:t xml:space="preserve">גם תיאוריות היסוד של הדיסציפלינה מקבלות משמעות חדשה כשבוחנים אותן במבחן המגדר. תיאוריית האנומיה של מרטון, הרואה בעבריינות תגובה לפער שבין המטרות התרבותיות לבין האמצעים הלגיטימיים להשגתן, נתקלת בקושי מגדרי מובנה: לאורך רוב ההיסטוריה חסמה החברה בפני נשים את האמצעים הלגיטימיים יותר משחסמה אותם בפני גברים, ולפי היגיון התיאוריה היה מקום לצפות דווקא לעבריינות נשית גבוהה יותר (לרנאו, 2023). תיאוריית הפעילות השגרתית, מבית הגישה הניאו-קלאסית, מציעה הסבר הפוך בפשטותו: עבירה מתרחשת במפגש בין עבריין בעל מוטיבציה, מטרה זמינה והיעדר שומר, ושגרת חייהן ההיסטורית של נשים, שהתרכזה בבית ובמשפחה, זימנה להן פחות הזדמנויות עבירה ויותר נוכחות של שומרים (לרנאו, 2023). ברוח דומה, עקרון ההתחברות הדיפרנציאלית מסביר את הפער בכך שבנות חשופות פחות לקבוצות עמיתים עברייניות, בין היתר בשל הפיקוח ההורי המוגבר עליהן (Nilsson, 2017).</w:t>
      </w:r>
    </w:p>
    <w:p>
      <w:pPr>
        <w:bidi/>
        <w:spacing w:after="160" w:before="0" w:line="360"/>
        <w:jc w:val="both"/>
      </w:pPr>
      <w:r>
        <w:rPr>
          <w:rFonts w:ascii="David" w:cs="David" w:eastAsia="David" w:hAnsi="David"/>
          <w:sz w:val="24"/>
          <w:szCs w:val="24"/>
          <w:rtl/>
        </w:rPr>
        <w:t xml:space="preserve">ברוידי ואגניו (Broidy &amp; Agnew, 1997, כפי שמצוטט אצל Savolainen et al., 2017) יישבו באמצעות תיאוריית הלחץ הכללית (GST) פרדוקס מטריד: נשים חוות לחצים ומצוקות לא פחות מגברים, ואף יותר, ובכל זאת עוברות פחות עבירות. הסברם כפול. ראשית, סוגי הלחץ שונים: לחצי הנשים כרוכים ביחסים בין-אישיים ובנטל טיפולי, המרסנים פורקן עברייני, ואילו לחצי הגברים כרוכים בתחרות ובכבוד, המזמינים תוקפנות כלפי חוץ; שנית, התגובה הרגשית שונה: כעסן של נשים מלוּוה תכופות באשמה, בחרדה ובדיכאון, רגשות המפנים את המצוקה פנימה (פגיעה עצמית, דיכאון, הפרעות אכילה) במקום החוצה. סטפנסמייר ואלן (Steffensmeier &amp; Allan, 1996, כפי שמצוטט אצל van der Heijden, 2024) שילבו יסודות אלה לתיאוריה מגדרית כוללת: נורמות מגדריות, התפתחות מוסרית ורגשית, פיקוח חברתי דיפרנציאלי, הבדלים גופניים והֶקשר מיני. חמשת הממדים הללו מייצרים יחדיו הן את הפער בהיקף הן את הפער בדפוס.</w:t>
      </w:r>
    </w:p>
    <w:p>
      <w:pPr>
        <w:pStyle w:val="Heading2"/>
        <w:bidi/>
        <w:spacing w:after="120" w:before="240" w:line="360"/>
        <w:jc w:val="right"/>
      </w:pPr>
      <w:r>
        <w:rPr>
          <w:rFonts w:ascii="David" w:cs="David" w:eastAsia="David" w:hAnsi="David"/>
          <w:b/>
          <w:bCs/>
          <w:color w:val="000000"/>
          <w:sz w:val="26"/>
          <w:szCs w:val="26"/>
          <w:rtl/>
        </w:rPr>
        <w:t xml:space="preserve">3.7 קרימינולוגיה תרבותית, מגדר ודת</w:t>
      </w:r>
    </w:p>
    <w:p>
      <w:pPr>
        <w:bidi/>
        <w:spacing w:after="160" w:before="0" w:line="360"/>
        <w:jc w:val="both"/>
      </w:pPr>
      <w:r>
        <w:rPr>
          <w:rFonts w:ascii="David" w:cs="David" w:eastAsia="David" w:hAnsi="David"/>
          <w:sz w:val="24"/>
          <w:szCs w:val="24"/>
          <w:rtl/>
        </w:rPr>
        <w:t xml:space="preserve">נגלר וסלמן (Naegler &amp; Salman, 2016) מתחו ביקורת עדכנית גם על הקרימינולוגיה הביקורתית עצמה: הקרימינולוגיה התרבותית, החוקרת את המשמעות, הריגוש והזהות שבמעשה העברייני, המשיכה להתמקד בגברים ולראות בעבריינות ביטוי של גבריות מתריסה. הן קוראות להעביר את "תודעת המגדר" מן השוליים למרכז: לחקור כיצד נשים וגברים "עושים מגדר" (Doing Gender) דרך העבירה ודרך ההימנעות ממנה. מסגרת זו חשובה לענייננו, שכן היא מאפשרת לנתח גם את הציות עצמו, לצד העבירה, כביצוע (Performance) של זהות: נשיות נורמטיבית "מבוצעת" בין היתר דרך שמירת חוק.</w:t>
      </w:r>
    </w:p>
    <w:p>
      <w:pPr>
        <w:bidi/>
        <w:spacing w:after="160" w:before="0" w:line="360"/>
        <w:jc w:val="both"/>
      </w:pPr>
      <w:r>
        <w:rPr>
          <w:rFonts w:ascii="David" w:cs="David" w:eastAsia="David" w:hAnsi="David"/>
          <w:sz w:val="24"/>
          <w:szCs w:val="24"/>
          <w:rtl/>
        </w:rPr>
        <w:t xml:space="preserve">לבסוף, זרם מחקרי רלוונטי במיוחד לעבודה זו הוא חקר הקשר שבין דת לעבריינות. מאז "השערת אש הגיהינום" של הירשי וסטארק (Hirschi &amp; Stark, 1969, כפי שמצוטט אצל Adamczyk et al., 2017) הצטברו עדויות לכך שדתיות (אמונה, תפילה והשתייכות קהילתית) מתואמת עם רמות נמוכות של עבריינות ושימוש בסמים, בעיקר באמצעות חיזוק הפיקוח הבלתי פורמלי, הקשרים החברתיים והפנמת נורמות (Adamczyk et al., 2017). על בסיס זה צמחו הקרימינולוגיה החיובית, המדגישה גורמי חוסן, שילוב חברתי וחוויות מתקנות, והקרימינולוגיה הרוחנית היהודית של בן יאיר, המציעה מודל שבמרכזו המעבר מאגוצנטריות, שורש העבריינות, לאלטרצנטריות, חיים שמרכזם מחוץ לאני (בן יאיר, 2021; Ben Yair, 2021). מודלים אלה מספקים את הגשר התיאורטי שבין שני חלקי ההשוואה בעבודה זו.</w:t>
      </w:r>
    </w:p>
    <w:p>
      <w:pPr>
        <w:pStyle w:val="Heading1"/>
        <w:pageBreakBefore/>
        <w:bidi/>
        <w:spacing w:after="240" w:before="240" w:line="360"/>
        <w:jc w:val="center"/>
      </w:pPr>
      <w:r>
        <w:rPr>
          <w:rFonts w:ascii="David" w:cs="David" w:eastAsia="David" w:hAnsi="David"/>
          <w:b/>
          <w:bCs/>
          <w:color w:val="000000"/>
          <w:sz w:val="30"/>
          <w:szCs w:val="30"/>
          <w:rtl/>
        </w:rPr>
        <w:t xml:space="preserve">פרק רביעי: מחקרים בקרימינולוגיה על הנושא</w:t>
      </w:r>
    </w:p>
    <w:p>
      <w:pPr>
        <w:pStyle w:val="Heading2"/>
        <w:bidi/>
        <w:spacing w:after="120" w:before="240" w:line="360"/>
        <w:jc w:val="right"/>
      </w:pPr>
      <w:r>
        <w:rPr>
          <w:rFonts w:ascii="David" w:cs="David" w:eastAsia="David" w:hAnsi="David"/>
          <w:b/>
          <w:bCs/>
          <w:color w:val="000000"/>
          <w:sz w:val="26"/>
          <w:szCs w:val="26"/>
          <w:rtl/>
        </w:rPr>
        <w:t xml:space="preserve">4.1 מגמות הפער המגדרי: התכנסות ומקורותיה</w:t>
      </w:r>
    </w:p>
    <w:p>
      <w:pPr>
        <w:bidi/>
        <w:spacing w:after="160" w:before="0" w:line="360"/>
        <w:jc w:val="both"/>
      </w:pPr>
      <w:r>
        <w:rPr>
          <w:rFonts w:ascii="David" w:cs="David" w:eastAsia="David" w:hAnsi="David"/>
          <w:sz w:val="24"/>
          <w:szCs w:val="24"/>
          <w:rtl/>
        </w:rPr>
        <w:t xml:space="preserve">אסטרדה ועמיתיו (Estrada et al., 2016) פרסמו את אחד המחקרים החשובים של העשור האחרון על הפער המגדרי, בהתבסס על סדרות נתונים היסטוריות על הרשעות בשוודיה מאז 1841 ועל שלוש עוקבות לידה מלאות (ילידי 1965, 1975 ו-1985). ממצאם המרכזי מטלטל את תיאוריית האמנציפציה: הפער המגדרי בהרשעות אכן הצטמצם, אך לא בגלל עלייה בעבריינות נשים, אלא בעיקר בגלל ירידה חדה בהרשעות גברים בעבירות רכוש, ולצידה אפקט של הרחבת רשת (Net-Widening) שהגדיל את הרשעות הנשים דווקא בעבירות הקלות. העלייה שנרשמה בהרשעות נשים התרכזה בשכבות ההכנסה הנמוכות ביותר, והחוקרים תולים אותה במדיניות אכיפה מחמירה שכוונה אל "החשודים המיידיים" מקבוצות מוחלשות ובאי-שוויון גובר בתנאי הילדות. מסקנתם כפולה: ההתכנסות המגדרית בפשיעה היא בעיקרה סיפור של שוליים חברתיים ולא של שחרור; ואם השוויון המגדרי בכל זאת פועל על הפער, הרי זה בעיקר דרך שינוי דפוסי הגבריות, שכן רמות הפשיעה של הגברים הן המתקרבות לאלו של הנשים, ולא להפך.</w:t>
      </w:r>
    </w:p>
    <w:p>
      <w:pPr>
        <w:bidi/>
        <w:spacing w:after="160" w:before="0" w:line="360"/>
        <w:jc w:val="both"/>
      </w:pPr>
      <w:r>
        <w:rPr>
          <w:rFonts w:ascii="David" w:cs="David" w:eastAsia="David" w:hAnsi="David"/>
          <w:sz w:val="24"/>
          <w:szCs w:val="24"/>
          <w:rtl/>
        </w:rPr>
        <w:t xml:space="preserve">ממצאים דומים עולים ממחקרם של ביטון ועמיתיו (Beatton et al., 2018), שניתחו נתונים מנהליים מקיפים מאוסטרליה על פני עשרים שנה: נרשמה התכנסות מגדרית בעבירות רכוש ובעבירות קלות, בעוד הפער בעבירות האלימות החמורות נותר יציב. קמפניאלו (Campaniello, 2019), בסקירה השוואתית בין-לאומית, מסכמת כי חלקן של הנשים בפשיעה עלה במתינות במדינות המפותחות בעיקר בעבירות רכוש והונאה, וכי ההסברים הנתמכים ביותר הם כלכליים ומבניים (השתתפות בשוק העבודה והזדמנויות עבירה), ולא שינוי בנטיות התנהגותיות.</w:t>
      </w:r>
    </w:p>
    <w:p>
      <w:pPr>
        <w:bidi/>
        <w:spacing w:after="160" w:before="0" w:line="360"/>
        <w:jc w:val="both"/>
      </w:pPr>
      <w:r>
        <w:rPr>
          <w:rFonts w:ascii="David" w:cs="David" w:eastAsia="David" w:hAnsi="David"/>
          <w:sz w:val="24"/>
          <w:szCs w:val="24"/>
          <w:rtl/>
        </w:rPr>
        <w:t xml:space="preserve">תמונה משלימה ברמה הבין-לאומית עולה ממחקרם של סבולאינן ועמיתיו (Savolainen et al., 2017), שקישרו נתוני עבריינות בדיווח עצמי של בני נוער משלושים מדינות (סקר ISRD-2) עם מדדים ערכיים ומבניים של פטריארכליות. ממצאם המרכזי: הפער המגדרי בעבריינות גדול יותר במדינות שבהן עמדות פטריארכליות חזקות ואי-שוויון מגדרי גבוה, וצר יותר במדינות שוויוניות, שבהן הבנות עוברות מעט יותר עבירות והבנים פחות. הממצא מדגים כיצד המבנה המגדרי של החברה מעצב את היקף הפער, והוא בעל חשיבות ישירה לדיון ההשוואתי שייערך בפרק החמישי.</w:t>
      </w:r>
    </w:p>
    <w:p>
      <w:pPr>
        <w:bidi/>
        <w:spacing w:after="160" w:before="0" w:line="360"/>
        <w:jc w:val="both"/>
      </w:pPr>
      <w:r>
        <w:rPr>
          <w:rFonts w:ascii="David" w:cs="David" w:eastAsia="David" w:hAnsi="David"/>
          <w:sz w:val="24"/>
          <w:szCs w:val="24"/>
          <w:rtl/>
        </w:rPr>
        <w:t xml:space="preserve">תרומה עדכנית ומטלטלת במיוחד היא זו של ואן דר היידן (van der Heijden, 2024), הסוקרת מחקר היסטורי ארוך-טווח על דפוסי פשיעה ממוגדרים ומערערת על ההנחה שהפער המגדרי הוא נתון קבוע וחוצה-תקופות. בעוד שכיום נשים מהוות כחמישה-עשר אחוזים מכלל הנתבעים לדין באירופה וכשלושה-עשר אחוזים מן המורשעים, נתונים מאירופה שלפני 1800 מציירים תמונה שונה בתכלית: חלקן היחסי של נשים בעבירות, ובכללן גניבה ואף אלימות, הגיע פעמים רבות לכמחצית מן ההעמדות לדין בעבירות רכוש. משמעות הממצא היא שהפער המגדרי בהיקפו המוכר לנו הוא תופעה היסטורית מאוחרת יחסית, שהתגבשה עם העיור, התיעוש והדחיקה של נשים מן הכלכלה הציבורית אל המרחב הביתי, ולא קבוע אנתרופולוגי. זהו ממצא בעל חשיבות מיוחדת לעבודה זו, ויידון בהרחבה בפרק החמישי.</w:t>
      </w:r>
    </w:p>
    <w:p>
      <w:pPr>
        <w:pStyle w:val="Heading2"/>
        <w:bidi/>
        <w:spacing w:after="120" w:before="240" w:line="360"/>
        <w:jc w:val="right"/>
      </w:pPr>
      <w:r>
        <w:rPr>
          <w:rFonts w:ascii="David" w:cs="David" w:eastAsia="David" w:hAnsi="David"/>
          <w:b/>
          <w:bCs/>
          <w:color w:val="000000"/>
          <w:sz w:val="26"/>
          <w:szCs w:val="26"/>
          <w:rtl/>
        </w:rPr>
        <w:t xml:space="preserve">4.2 עבריינות קטינות: הנערות ומערכת האכיפה</w:t>
      </w:r>
    </w:p>
    <w:p>
      <w:pPr>
        <w:bidi/>
        <w:spacing w:after="160" w:before="0" w:line="360"/>
        <w:jc w:val="both"/>
      </w:pPr>
      <w:r>
        <w:rPr>
          <w:rFonts w:ascii="David" w:cs="David" w:eastAsia="David" w:hAnsi="David"/>
          <w:sz w:val="24"/>
          <w:szCs w:val="24"/>
          <w:rtl/>
        </w:rPr>
        <w:t xml:space="preserve">סלע-שיוביץ (Sela-Shayovitz, 2017) בחנה את מגמות המגדר בעבריינות נוער בישראל על פני שנות התשעים והאלפיים. ממצאיה מצביעים על יציבות מפתיעה: חרף השיח הציבורי על "עליית אלימות הנערות", חלקן של הבנות בתיקי הנוער נותר נמוך ויציב יחסית, והעלייה שנרשמה התרכזה בעבירות קלות ובקטגוריות שבהן שיקול הדעת של המערכת רחב. ממצא זה מתיישב עם ספרות בין-לאומית ענפה שלפיה חלק ניכר מ"סגירת הפער" בקרב קטינות הוא תוצר של שינויי מדיניות (הרחבת ההגדרות של אלימות, מדיניות מעצרים באלימות במשפחה והפללת התנהגויות בית-ספריות) יותר משהוא שינוי התנהגותי ממשי. במילים אחרות: מערכות האכיפה החלו "לראות" עבריינות נשית במקומות שבעבר טופלו בלתי פורמלית, בדיוק כפי שניבאה תיאוריית התיוג.</w:t>
      </w:r>
    </w:p>
    <w:p>
      <w:pPr>
        <w:bidi/>
        <w:spacing w:after="160" w:before="0" w:line="360"/>
        <w:jc w:val="both"/>
      </w:pPr>
      <w:r>
        <w:rPr>
          <w:rFonts w:ascii="David" w:cs="David" w:eastAsia="David" w:hAnsi="David"/>
          <w:sz w:val="24"/>
          <w:szCs w:val="24"/>
          <w:rtl/>
        </w:rPr>
        <w:t xml:space="preserve">נילסון (Nilsson, 2017) בחנה מנגנון מרכזי אחר על מדגם של 889 מתבגרים בעיר הלמסטד שבשוודיה: תפקידם של משתני המשפחה בהסבר הפער המגדרי בעבריינות נוער. ממצאיה עקביים עם תיאוריות הפיקוח: בנות דיווחו על רמות גבוהות יותר של קשר להורים ושל פיקוח הורי, משתנים אלה נמצאו קשורים לעבריינות אצל שני המינים, והם מסבירים חלק מן הפער המגדרי בהתנהגות העבריינית. ממצא זה מספק תמיכה אמפירית עדכנית לטענה המרכזית של עבודה זו, שלפיה הפער המגדרי מתווך במידה רבה על ידי פיקוח וקשר משפחתי, ולא על ידי נטיות מולדות.</w:t>
      </w:r>
    </w:p>
    <w:p>
      <w:pPr>
        <w:pStyle w:val="Heading2"/>
        <w:bidi/>
        <w:spacing w:after="120" w:before="240" w:line="360"/>
        <w:jc w:val="right"/>
      </w:pPr>
      <w:r>
        <w:rPr>
          <w:rFonts w:ascii="David" w:cs="David" w:eastAsia="David" w:hAnsi="David"/>
          <w:b/>
          <w:bCs/>
          <w:color w:val="000000"/>
          <w:sz w:val="26"/>
          <w:szCs w:val="26"/>
          <w:rtl/>
        </w:rPr>
        <w:t xml:space="preserve">4.3 קורבנות, מגדר ומסלולי עבריינות</w:t>
      </w:r>
    </w:p>
    <w:p>
      <w:pPr>
        <w:bidi/>
        <w:spacing w:after="160" w:before="0" w:line="360"/>
        <w:jc w:val="both"/>
      </w:pPr>
      <w:r>
        <w:rPr>
          <w:rFonts w:ascii="David" w:cs="David" w:eastAsia="David" w:hAnsi="David"/>
          <w:sz w:val="24"/>
          <w:szCs w:val="24"/>
          <w:rtl/>
        </w:rPr>
        <w:t xml:space="preserve">הספרות העדכנית מסכמת שלושה ממצאי ליבה: ראשית, הפער המגדרי נותר עמיד במיוחד בעבירות החמורות בכל שיטות המדידה (Campaniello, 2019); שנית, ההסברים הנתמכים ביותר הם חיברות מגדרי ופיקוח חברתי דיפרנציאלי, ולא הבדלים ביולוגיים (Nilsson, 2017; Savolainen et al., 2017); שלישית, מסלולי הכניסה של נשים לעבריינות שזורים בקורבנות קודמת, בעוני ובתלות בבני זוג, ומכאן שנדרשת מדיניות ענישה ושיקום מגדרית-רגישה (Gender-Responsive) (יוכט, 2019; פרישטוק, 2019). ממצאים אלה מקנים תוקף אמפירי עדכני לתיאוריות הפמיניסטיות שנסקרו בפרק הקודם.</w:t>
      </w:r>
    </w:p>
    <w:p>
      <w:pPr>
        <w:bidi/>
        <w:spacing w:after="160" w:before="0" w:line="360"/>
        <w:jc w:val="both"/>
      </w:pPr>
      <w:r>
        <w:rPr>
          <w:rFonts w:ascii="David" w:cs="David" w:eastAsia="David" w:hAnsi="David"/>
          <w:sz w:val="24"/>
          <w:szCs w:val="24"/>
          <w:rtl/>
        </w:rPr>
        <w:t xml:space="preserve">תרומה ישראלית ייחודית לספרות זו היא ניתוחה של יוכט (2019) את פרשת המעילה של אתי אלון, מפרשות המעילה הגדולות בתולדות המדינה, שבמסגרתה מעלה אלון בבנק למסחר סכומי עתק כדי לכסות את חובות ההימורים של אחיה. יוכט מציעה שלוש קריאות מגדריות של משפטה: הקריאה הראשונה, ברוח הקרימינולוגיה הפמיניסטית, רואה באלון קורבן של משפחה פטריארכלית המקדשת את הקרבתן של נשים לטובת הדומיננטיות הגברית, עבריינית שפעלה למען אחרים ולא למען עצמה, בדפוס המוכר היטב מספרות הנתיבים; הקריאה השנייה מציגה אותה כ"אישה רעה", סוכנת חופשית, שקרנית ומניפולטיבית; והקריאה השלישית חותרת תחת עצם הדיכוטומיה קורבן/סוכנת חופשית, ומראה כי סיפורה של אלון אינו נענה לתבניות הבינאריות שמציע השיח המשפטי. ניתוח זה ממחיש הלכה למעשה, על מקרה ישראלי מובהק, את הטענה התיאורטית שהוצגה לעיל: דמותה של האישה העבריינית נלכדת שוב ושוב בין שני דימויים קוטביים, הקורבן חסרת הבחירה או החריגה המפלצתית, ושניהם גם יחד חוסמים הבנה מלאה של מעשיה ושל אחריותה.</w:t>
      </w:r>
    </w:p>
    <w:p>
      <w:pPr>
        <w:bidi/>
        <w:spacing w:after="160" w:before="0" w:line="360"/>
        <w:jc w:val="both"/>
      </w:pPr>
      <w:r>
        <w:rPr>
          <w:rFonts w:ascii="David" w:cs="David" w:eastAsia="David" w:hAnsi="David"/>
          <w:sz w:val="24"/>
          <w:szCs w:val="24"/>
          <w:rtl/>
        </w:rPr>
        <w:t xml:space="preserve">מחקר ישראלי נוסף, היסטורי-קרימינולוגי באופיו, הוא מחקרה של לבנקרון (2021) על האופן שבו חקרה משטרת ישראל בשני העשורים הראשונים למדינה עבירות של המתת תינוקות ונטישתם בידי אימהותיהם. המתת תינוקות נחשבת מאז המאה התשע-עשרה לעבירה נשית מובהקת, והטיפול בה חושף בזעיר אנפין את מכלול הסוגיות המגדריות שנדונו בעבודה זו. לבנקרון מראה כי המשטרה פעלה על פי דמות של "חשודה מיידית": נשים הרות רווקות, גרושות ואלמנות, כלומר נשים שהרו מחוץ לגבולות הנורמות החברתיות, היו הראשונות להיחקר, ונשלחו לבדיקות גינקולוגיות ופסיכיאטריות פולשניות. בה בעת, השופטים גילו כלפי הנאשמות חמלה ניכרת ונטו לעונשים מקלים, מתוך תפיסתן כקורבנות נסיבות שפעלו מתוך מצוקה קיומית. המחקר ממחיש אפוא בו-זמנית שלושה יסודות תיאורטיים מרכזיים: תיוג ממוגדר, שבו ההפללה התמקדה בחריגה מנורמות מגדריות לא פחות מאשר במעשה עצמו; פרדוקס האבירות, שבו התקיימה חקירה פולשנית לצד ענישה מקלה; וטשטוש הגבול בין קורבן לעבריינית, שנדון בפרק הראשון כמאפיין יסוד של עבריינות נשים.</w:t>
      </w:r>
    </w:p>
    <w:p>
      <w:pPr>
        <w:bidi/>
        <w:spacing w:after="160" w:before="0" w:line="360"/>
        <w:jc w:val="both"/>
      </w:pPr>
      <w:r>
        <w:rPr>
          <w:rFonts w:ascii="David" w:cs="David" w:eastAsia="David" w:hAnsi="David"/>
          <w:sz w:val="24"/>
          <w:szCs w:val="24"/>
          <w:rtl/>
        </w:rPr>
        <w:t xml:space="preserve">עד כמה עמידה מסגרת ניתוח זו גם בתנאי קיצון מדגים מחקרה של קאר (2024), שניתחה את עדויותיה של יוליה בריכטה, יהודייה הונגרייה ששרדה את מחנה רוונסבריק כאסירה בעלת תפקיד ונחשדה לימים במעורבות בפגיעה באסירות. קאר מראה כיצד הנשים המעטות שהחזיקו במחנה בעמדות של "זכויות יתר" נשפטו פעמיים: פעם על מעשיהן ופעם על עצם חריגתן מהנורמות המצופות מנשים, וכיצד עדויותיהן נדחקו מן הזיכרון ההיסטורי. מסקנתה היא שדמותה של בריכטה חסינה מפני החלוקה הבינרית לקורבן או פושעת, לגיבורה או נבלה. המקרה ממחיש, בתנאים הקיצוניים ביותר שידעה ההיסטוריה, את שני היסודות שנדונו לכל אורך העבודה: טשטוש הגבול בין קורבן לעבריינית, והשיפוט המוסרי הכפול המופעל על נשים החורגות מתפקידן המגדרי.</w:t>
      </w:r>
    </w:p>
    <w:p>
      <w:pPr>
        <w:pStyle w:val="Heading2"/>
        <w:bidi/>
        <w:spacing w:after="120" w:before="240" w:line="360"/>
        <w:jc w:val="right"/>
      </w:pPr>
      <w:r>
        <w:rPr>
          <w:rFonts w:ascii="David" w:cs="David" w:eastAsia="David" w:hAnsi="David"/>
          <w:b/>
          <w:bCs/>
          <w:color w:val="000000"/>
          <w:sz w:val="26"/>
          <w:szCs w:val="26"/>
          <w:rtl/>
        </w:rPr>
        <w:t xml:space="preserve">4.4 דת, רוחניות ועבריינות: הממצאים האמפיריים</w:t>
      </w:r>
    </w:p>
    <w:p>
      <w:pPr>
        <w:bidi/>
        <w:spacing w:after="160" w:before="0" w:line="360"/>
        <w:jc w:val="both"/>
      </w:pPr>
      <w:r>
        <w:rPr>
          <w:rFonts w:ascii="David" w:cs="David" w:eastAsia="David" w:hAnsi="David"/>
          <w:sz w:val="24"/>
          <w:szCs w:val="24"/>
          <w:rtl/>
        </w:rPr>
        <w:t xml:space="preserve">אדמצ'יק ועמיתיה (Adamczyk et al., 2017) ערכו סקירה שיטתית של עשרות רבות של מחקרים על הקשר שבין דת לעבריינות. התמונה המצרפית עקבית: רובם המכריע של המחקרים מוצא קשר שלילי בין דתיות לבין עבריינות וסטייה, והאפקט בולט במיוחד בעבירות סמים ואלכוהול ובקרב בני נוער. המנגנונים המתועדים (פיקוח חברתי קהילתי, רשתות תמיכה, הפנמת נורמות ומשמעות קיומית) הם בדיוק המנגנונים שזוהו לעיל כמסבירי הפער המגדרי. במחקרים רבים נמצא האפקט המגן של דתיות חזק יותר אצל נשים, המדווחות בעקביות על רמות דתיות גבוהות משל גברים, ממצא שההשלכה התיאורטית שלו תידון בפרק הבא.</w:t>
      </w:r>
    </w:p>
    <w:p>
      <w:pPr>
        <w:bidi/>
        <w:spacing w:after="160" w:before="0" w:line="360"/>
        <w:jc w:val="both"/>
      </w:pPr>
      <w:r>
        <w:rPr>
          <w:rFonts w:ascii="David" w:cs="David" w:eastAsia="David" w:hAnsi="David"/>
          <w:sz w:val="24"/>
          <w:szCs w:val="24"/>
          <w:rtl/>
        </w:rPr>
        <w:t xml:space="preserve">בהקשר היהודי-ישראלי, בן יאיר (Ben Yair, 2021) מיפה באופן שיטתי את שיטות ההתערבות והשיקום העולות מכתבי הקודש היהודיים (תשובה, וידוי, תיקון המידות, לימוד וקהילה) והראה את הלימתן המפתיעה לפרקטיקות שיקום מבוססות-ראיות בקרימינולוגיה בת-זמננו. אייטן ורונאל (Eytan &amp; Ronel, 2023) חקרו איכותנית נשים דתיות שהחלימו מטראומה מינית, ומצאו כי המסע הרוחני, מחיפוש סיבה לחיפוש משמעות, היווה ציר מרכזי בהחלמה ובמניעת הידרדרות להתנהגויות סיכון. מחקר זה חשוב לענייננו משום שהוא ממוקם בדיוק בצומת שבין קורבנות נשית, רוחניות יהודית ומניעת עבריינות. זהו הצומת שספרות הנתיבים מזהה כקריטי במסלול חייהן של נשים עברייניות.</w:t>
      </w:r>
    </w:p>
    <w:p>
      <w:pPr>
        <w:pStyle w:val="Heading1"/>
        <w:pageBreakBefore/>
        <w:bidi/>
        <w:spacing w:after="240" w:before="240" w:line="360"/>
        <w:jc w:val="center"/>
      </w:pPr>
      <w:r>
        <w:rPr>
          <w:rFonts w:ascii="David" w:cs="David" w:eastAsia="David" w:hAnsi="David"/>
          <w:b/>
          <w:bCs/>
          <w:color w:val="000000"/>
          <w:sz w:val="30"/>
          <w:szCs w:val="30"/>
          <w:rtl/>
        </w:rPr>
        <w:t xml:space="preserve">פרק חמישי: דיון ומסקנות</w:t>
      </w:r>
    </w:p>
    <w:p>
      <w:pPr>
        <w:pStyle w:val="Heading2"/>
        <w:bidi/>
        <w:spacing w:after="120" w:before="240" w:line="360"/>
        <w:jc w:val="right"/>
      </w:pPr>
      <w:r>
        <w:rPr>
          <w:rFonts w:ascii="David" w:cs="David" w:eastAsia="David" w:hAnsi="David"/>
          <w:b/>
          <w:bCs/>
          <w:color w:val="000000"/>
          <w:sz w:val="26"/>
          <w:szCs w:val="26"/>
          <w:rtl/>
        </w:rPr>
        <w:t xml:space="preserve">5.1 השוואה בין הגישות: נקודות מפגש</w:t>
      </w:r>
    </w:p>
    <w:p>
      <w:pPr>
        <w:bidi/>
        <w:spacing w:after="160" w:before="0" w:line="360"/>
        <w:jc w:val="both"/>
      </w:pPr>
      <w:r>
        <w:rPr>
          <w:rFonts w:ascii="David" w:cs="David" w:eastAsia="David" w:hAnsi="David"/>
          <w:sz w:val="24"/>
          <w:szCs w:val="24"/>
          <w:rtl/>
        </w:rPr>
        <w:t xml:space="preserve">העיון המקביל בשתי מערכות הידע מעלה הלימה מבנית מפתיעה בשלושה צירים מרכזיים. הציר הראשון הוא הפיקוח החברתי הבלתי פורמלי: הקרימינולוגיה המודרנית, מתיאוריית הפיקוח דרך תיאוריית הכוח-שליטה ועד הממצאים האמפיריים העדכניים, מסבירה את מיעוט עבריינות הנשים בפיקוח דיפרנציאלי, בקשרים משפחתיים חזקים ובריחוק מזירות עבירה. היהדות, מצידה, מיסדה בדיוק את התנאים הללו באמצעות ערך הצניעות, מרכזיות הבית והקהילה ושגרת חיים נורמטיבית צפופה. במונחי תיאוריית הכוח-שליטה: הקהילה ההלכתית המסורתית היא מקרה מובהק של מבנה המייצר פער מגדרי גדול בהזדמנויות עבירה. מה שהתיאוריה ניסחה כממצא אמפירי במאה העשרים, ההלכה עיצבה כנורמה מחייבת אלפי שנים קודם לכן.</w:t>
      </w:r>
    </w:p>
    <w:p>
      <w:pPr>
        <w:bidi/>
        <w:spacing w:after="160" w:before="0" w:line="360"/>
        <w:jc w:val="both"/>
      </w:pPr>
      <w:r>
        <w:rPr>
          <w:rFonts w:ascii="David" w:cs="David" w:eastAsia="David" w:hAnsi="David"/>
          <w:sz w:val="24"/>
          <w:szCs w:val="24"/>
          <w:rtl/>
        </w:rPr>
        <w:t xml:space="preserve">הציר השני הוא הקשר בין קורבנות, מצוקה ועבריינות: הקרימינולוגיה הפמיניסטית מיקמה את קורבנותן של נשים בלב ההסבר לעבריינותן, והוויקטימולוגיה היהודית של פרישטוק (2019) מראה כי המסורת זיהתה את פגיעותה המבנית של האישה וקבעה חובות הגנה מוגברות על החלשים. הציר השלישי הוא הסובייקט המוסרי: תיאוריית הלחץ המגדרית מייחסת לנשים עיבוד רגשי-מוסרי שונה של מצוקה, ומחקרי הדתיות מצביעים על הפנמת נורמות חזקה יותר אצל נשים; חז"ל, במונחי "בינה יתרה", ייחסו לאישה בשלות שיפוטית מוקדמת והטילו עליה אחריות מוסרית מלאה, ואף מוקדמת מזו של הגבר.</w:t>
      </w:r>
    </w:p>
    <w:p>
      <w:pPr>
        <w:pStyle w:val="Heading2"/>
        <w:bidi/>
        <w:spacing w:after="120" w:before="240" w:line="360"/>
        <w:jc w:val="right"/>
      </w:pPr>
      <w:r>
        <w:rPr>
          <w:rFonts w:ascii="David" w:cs="David" w:eastAsia="David" w:hAnsi="David"/>
          <w:b/>
          <w:bCs/>
          <w:color w:val="000000"/>
          <w:sz w:val="26"/>
          <w:szCs w:val="26"/>
          <w:rtl/>
        </w:rPr>
        <w:t xml:space="preserve">5.2 ההבדלים בין הגישות: נקודות מחלוקת והערכה ביקורתית</w:t>
      </w:r>
    </w:p>
    <w:p>
      <w:pPr>
        <w:bidi/>
        <w:spacing w:after="160" w:before="0" w:line="360"/>
        <w:jc w:val="both"/>
      </w:pPr>
      <w:r>
        <w:rPr>
          <w:rFonts w:ascii="David" w:cs="David" w:eastAsia="David" w:hAnsi="David"/>
          <w:sz w:val="24"/>
          <w:szCs w:val="24"/>
          <w:rtl/>
        </w:rPr>
        <w:t xml:space="preserve">קודם לבחינת המתחים, נדרש מיפוי של ההבדלים היסודיים בין שתי הגישות, בשלושה ממדים. בממד תמונת העבריינית: הקרימינולוגיה המודרנית רואה בה בראש ובראשונה תוצר של נסיבות, מבנים והזדמנויות, ואילו היהדות רואה בה סובייקט מוסרי בעל בחירה, שנסיבותיו מקילות אך אינן פוטרות. בממד יחידת הניתוח: הקרימינולוגיה מנתחת אוכלוסיות, שיעורים ומגמות, והיהדות מתבוננת בנפש היחיד ובקהילה המקיפה אותה. בממד תכלית התגובה לעבירה: הקרימינולוגיה שואפת להסביר, לנבא ולמנוע, ואילו היהדות שואפת לתקן, להשיב את החוטאת בתשובה ולרפא את הקרע החברתי שיצרה העבירה (בן יאיר, 2021; Ben Yair, 2021). הבדלים אלה אינם סותרים את נקודות המפגש שנסקרו לעיל אלא מסבירים את מקורן: שתי המערכות מגיעות למנגנונים דומים מתוך נקודות מוצא שונות בתכלית, וההבדלים הם שמזינים את המתחים שיוצגו כעת.</w:t>
      </w:r>
    </w:p>
    <w:p>
      <w:pPr>
        <w:bidi/>
        <w:spacing w:after="160" w:before="0" w:line="360"/>
        <w:jc w:val="both"/>
      </w:pPr>
      <w:r>
        <w:rPr>
          <w:rFonts w:ascii="David" w:cs="David" w:eastAsia="David" w:hAnsi="David"/>
          <w:sz w:val="24"/>
          <w:szCs w:val="24"/>
          <w:rtl/>
        </w:rPr>
        <w:t xml:space="preserve">לצד ההלימה, ההשוואה חושפת מתחים עמוקים. המתח הראשון נוגע למחיר הפיקוח: מנקודת המבט הפמיניסטית הרדיקלית, אותם מנגנונים שהיהדות מציגה כהגנה (צניעות, תיחום למרחב הביתי, פיקוח קהילתי) הם בדיוק מה שהקרימינולוגיה הפמיניסטית הרדיקלית מכנה שליטה פטריארכלית: הם מצמצמים עבריינות נשית באותו מהלך שבו הם מצמצמים חירות נשית, ומייצרים סטנדרט כפול שבו סטייה נשית קלה מתויגת בחומרה יתרה. העובדה שהפיקוח "עובד" קרימינולוגית אינה מכריעה את שאלת המחיר הנורמטיבי שלו, והכרה בכך היא תנאי לדיון הוגן.</w:t>
      </w:r>
    </w:p>
    <w:p>
      <w:pPr>
        <w:bidi/>
        <w:spacing w:after="160" w:before="0" w:line="360"/>
        <w:jc w:val="both"/>
      </w:pPr>
      <w:r>
        <w:rPr>
          <w:rFonts w:ascii="David" w:cs="David" w:eastAsia="David" w:hAnsi="David"/>
          <w:sz w:val="24"/>
          <w:szCs w:val="24"/>
          <w:rtl/>
        </w:rPr>
        <w:t xml:space="preserve">המתח השני נוגע לכיוון ההסבר: הקרימינולוגיה היא דיסציפלינה תיאורית-אמפירית המבקשת להסביר את המצוי, ואילו היהדות היא מערכת נורמטיבית המבקשת לעצב את הרצוי. כאשר היהדות "מסבירה" את מיעוט עבריינות הנשים, היא עושה זאת מתוך תמונת עולם של תפקידים ראויים, לא מתוך מדידה; ולהפך, הקרימינולוגיה נזהרת משיפוט ערכי גם כשהיא מתעדת נזק. אולם דווקא כאן טמון פוטנציאל ההפריה ההדדית: הקרימינולוגיה החיובית והרוחנית (בן יאיר, 2021; Ben Yair, 2021) מציעות מסגרת שבה ידע נורמטיבי-דתי מתורגם לפרקטיקה טיפולית הניתנת לבחינה אמפירית, בלי לוותר על הסטנדרטים המדעיים.</w:t>
      </w:r>
    </w:p>
    <w:p>
      <w:pPr>
        <w:bidi/>
        <w:spacing w:after="160" w:before="0" w:line="360"/>
        <w:jc w:val="both"/>
      </w:pPr>
      <w:r>
        <w:rPr>
          <w:rFonts w:ascii="David" w:cs="David" w:eastAsia="David" w:hAnsi="David"/>
          <w:sz w:val="24"/>
          <w:szCs w:val="24"/>
          <w:rtl/>
        </w:rPr>
        <w:t xml:space="preserve">המתח השלישי הוא אמפירי: אם צדקה הקריאה ההלכתית, היה מקום לצפות שבחברות דתיות הפער המגדרי יהיה גדול במיוחד, ואכן ממצאי הסקירה השיטתית של אדמצ'יק ועמיתיה (Adamczyk et al., 2017) תומכים בכיוון זה, וממצאיהם של סבולאינן ועמיתיו (Savolainen et al., 2017), שלפיהם הפער המגדרי רחב יותר במדינות פטריארכליות, מוסיפים לכך תמיכה ישירה ברמה הבין-לאומית. אולם ממצאי אסטרדה ועמיתיו (Estrada et al., 2016) מזכירים כי הצטמצמות הפער במערב אינה סיפור של שחרור אלא של שוליים חברתיים; ההשלכה המטרידה היא שגם היחלשות המסגרות המסורתיות אינה מבטיחה שוויון מיטיב, אלא עלולה להפקיר נשים מוחלשות לסיכונים כפולים, לקורבנות ולהפללה גם יחד.</w:t>
      </w:r>
    </w:p>
    <w:p>
      <w:pPr>
        <w:bidi/>
        <w:spacing w:after="160" w:before="0" w:line="360"/>
        <w:jc w:val="both"/>
      </w:pPr>
      <w:r>
        <w:rPr>
          <w:rFonts w:ascii="David" w:cs="David" w:eastAsia="David" w:hAnsi="David"/>
          <w:sz w:val="24"/>
          <w:szCs w:val="24"/>
          <w:rtl/>
        </w:rPr>
        <w:t xml:space="preserve">מתח רביעי, החריף מכולם, עולה מממצאיה של ואן דר היידן (van der Heijden, 2024). אם הפער המגדרי בהיקפו המוכר לנו הוא תוצר היסטורי מאוחר, ולא נתון קבוע, הרי שנשמט הבסיס מן הקריאה הרואה במקורות היהדות הסבר לתופעה נצחית. מסקנה זו מחייבת זהירות פרשנית: אין לקרוא את המקורות כמתעדים "טבע נשי" שאינו משתנה, אלא לכל היותר כמעצבים סדר חברתי מסוים שהשפעתו על דפוסי העבירה תלוית הקשר היסטורי וכלכלי. ואולם, במבט אחר, הממצא דווקא מחזק את טיעון העבודה: אם הפער נוצר ומשתנה עם שינויי מבנה חברתי (עיור, תיעוש ותיחום מרחבי של נשים), הרי שהמנגנון המסביר אינו ביולוגיה אלא בדיוק אותם מנגנוני פיקוח, הזדמנות ותפקיד שזוהו כאן בשני צידי ההשוואה. במילים אחרות, הממצא ההיסטורי שולל את הפרשנות המהותנית של המקורות, אך מאשש את הפרשנות המבנית שהוצעה בעבודה זו.</w:t>
      </w:r>
    </w:p>
    <w:p>
      <w:pPr>
        <w:pStyle w:val="Heading2"/>
        <w:bidi/>
        <w:spacing w:after="120" w:before="240" w:line="360"/>
        <w:jc w:val="right"/>
      </w:pPr>
      <w:r>
        <w:rPr>
          <w:rFonts w:ascii="David" w:cs="David" w:eastAsia="David" w:hAnsi="David"/>
          <w:b/>
          <w:bCs/>
          <w:color w:val="000000"/>
          <w:sz w:val="26"/>
          <w:szCs w:val="26"/>
          <w:rtl/>
        </w:rPr>
        <w:t xml:space="preserve">5.3 חידוש העבודה ותובנות חדשות</w:t>
      </w:r>
    </w:p>
    <w:p>
      <w:pPr>
        <w:bidi/>
        <w:spacing w:after="160" w:before="0" w:line="360"/>
        <w:jc w:val="both"/>
      </w:pPr>
      <w:r>
        <w:rPr>
          <w:rFonts w:ascii="David" w:cs="David" w:eastAsia="David" w:hAnsi="David"/>
          <w:sz w:val="24"/>
          <w:szCs w:val="24"/>
          <w:rtl/>
        </w:rPr>
        <w:t xml:space="preserve">תרומתה של עבודה זו לידע הקיים היא בשלושה מובנים. ראשית, ברמה התיאורית, העבודה מציעה קריאה שיטתית של מקורות היהדות כ"תיאוריה מוקדמת" של פיקוח חברתי מגדרי: מושגי הצניעות, המסגרת הקהילתית ו"בינה יתרה" נותחו כאן במונחים של גורמי מגן, הזדמנויות עבירה וחיברות מוסרי, ניתוח שטרם נעשה באופן ממוקד ביחס לפער המגדרי בפשיעה. שנית, ברמה הביקורתית, העבודה מסרבת להרמוניזציה נוחה: היא מציבה את הביקורת הפמיניסטית מול הקריאה ההלכתית ומראה כי אותו מנגנון עצמו, הפיקוח המגדרי, הוא בו-זמנית גורם מגן קרימינולוגי ומוקד ביקורת נורמטיבי. שלישית, ברמה היישומית, מן ההשוואה נגזר כיוון מעשי: תוכניות שיקום מגדריות-רגישות לנשים עברייניות ונפגעות עבירה בישראל יכולות לשלב רכיבים רוחניים-קהילתיים ברוח הקרימינולוגיה החיובית (חיפוש משמעות, השתייכות קהילתית ותיקון), שהראו תוצאות מבטיחות במחקר העדכני (Eytan &amp; Ronel, 2023; Ben Yair, 2021). רביעית, העבודה משלבת ממצא היסטורי עדכני (van der Heijden, 2024) שטרם הוטמע בדיון על יהדות וקרימינולוגיה, ומראה כיצד הוא מחייב מעבר מקריאה מהותנית של המקורות לקריאה מבנית שלהם.</w:t>
      </w:r>
    </w:p>
    <w:p>
      <w:pPr>
        <w:pStyle w:val="Heading2"/>
        <w:bidi/>
        <w:spacing w:after="120" w:before="240" w:line="360"/>
        <w:jc w:val="right"/>
      </w:pPr>
      <w:r>
        <w:rPr>
          <w:rFonts w:ascii="David" w:cs="David" w:eastAsia="David" w:hAnsi="David"/>
          <w:b/>
          <w:bCs/>
          <w:color w:val="000000"/>
          <w:sz w:val="26"/>
          <w:szCs w:val="26"/>
          <w:rtl/>
        </w:rPr>
        <w:t xml:space="preserve">5.4 מגבלות העבודה והצעות למחקר המשך</w:t>
      </w:r>
    </w:p>
    <w:p>
      <w:pPr>
        <w:bidi/>
        <w:spacing w:after="160" w:before="0" w:line="360"/>
        <w:jc w:val="both"/>
      </w:pPr>
      <w:r>
        <w:rPr>
          <w:rFonts w:ascii="David" w:cs="David" w:eastAsia="David" w:hAnsi="David"/>
          <w:sz w:val="24"/>
          <w:szCs w:val="24"/>
          <w:rtl/>
        </w:rPr>
        <w:t xml:space="preserve">לעבודה זו מגבלות שיש להכיר בהן. ראשית, זוהי עבודה עיונית המבוססת על ספרות קיימת, ללא איסוף נתונים עצמאי; המסקנות ההשוואתיות הן פרשניות באופיין. שנית, "היהדות" אינה מקשה אחת: המקורות משתרעים על פני אלפי שנים, זרמים ופרשנויות, והקריאה שהוצעה כאן היא בהכרח סלקטיבית. שלישית, חלק מהמחקרים האמפיריים שנסקרו נערכו בהקשרים תרבותיים שונים מן הישראלי, ויש להיזהר בהכללה. מחקר המשך מתבקש הוא בחינה אמפירית של הפער המגדרי בפשיעה בתוך החברה החרדית והדתית בישראל בהשוואה לחברה הכללית: מערך כזה יאפשר לבחון ישירות האם ובאיזו מידה מסגרת חיים הלכתית מתפקדת כגורם מגן מפני עבריינות נשים, ומה מחיריה. כן מוצע מחקר איכותני על נשים דתיות שחצו את קו העבירה, לבחינת האופן שבו הן מפרשות את יחסי הדת, המגדר והעבירה בחייהן.</w:t>
      </w:r>
    </w:p>
    <w:p>
      <w:pPr>
        <w:pStyle w:val="Heading2"/>
        <w:bidi/>
        <w:spacing w:after="120" w:before="240" w:line="360"/>
        <w:jc w:val="right"/>
      </w:pPr>
      <w:r>
        <w:rPr>
          <w:rFonts w:ascii="David" w:cs="David" w:eastAsia="David" w:hAnsi="David"/>
          <w:b/>
          <w:bCs/>
          <w:color w:val="000000"/>
          <w:sz w:val="26"/>
          <w:szCs w:val="26"/>
          <w:rtl/>
        </w:rPr>
        <w:t xml:space="preserve">5.5 סיכום ומסקנות</w:t>
      </w:r>
    </w:p>
    <w:p>
      <w:pPr>
        <w:bidi/>
        <w:spacing w:after="160" w:before="0" w:line="360"/>
        <w:jc w:val="both"/>
      </w:pPr>
      <w:r>
        <w:rPr>
          <w:rFonts w:ascii="David" w:cs="David" w:eastAsia="David" w:hAnsi="David"/>
          <w:sz w:val="24"/>
          <w:szCs w:val="24"/>
          <w:rtl/>
        </w:rPr>
        <w:t xml:space="preserve">שאלת המחקר שהוצבה במבוא, מדוע נשים עוברות פחות עבירות מגברים וכיצד מוסבר הפער המגדרי בגישת היהדות לעומת הגישות בקרימינולוגיה, זכתה בעבודה זו לתשובה כפולה ומצטלבת. מצד הקרימינולוגיה, העבודה הראתה כי ההסברים העמידים ביותר אינם ביולוגיים אלא חברתיים: חיברות מגדרי המכוון בנות לריסון ולאחריות בין-אישית, פיקוח חברתי בלתי פורמלי דיפרנציאלי המצמצם את הזדמנויות העבירה שלהן, ועיבוד שונה של מצוקה, המופנה פנימה ולא החוצה. הממצאים העדכניים שנסקרו בפרק הרביעי חיזקו תמונה זו מכיוונים שונים: משתני משפחה מסבירים חלק מן הפער (Nilsson, 2017), הפער רחב יותר במדינות פטריארכליות ומתכווץ עם השוויון (Savolainen et al., 2017), והצטמצמותו במערב נובעת בעיקר מירידה בעבריינות גברים ומהרחבת רשת האכיפה, ולא משחרור הנשים (Estrada et al., 2016).</w:t>
      </w:r>
    </w:p>
    <w:p>
      <w:pPr>
        <w:bidi/>
        <w:spacing w:after="160" w:before="0" w:line="360"/>
        <w:jc w:val="both"/>
      </w:pPr>
      <w:r>
        <w:rPr>
          <w:rFonts w:ascii="David" w:cs="David" w:eastAsia="David" w:hAnsi="David"/>
          <w:sz w:val="24"/>
          <w:szCs w:val="24"/>
          <w:rtl/>
        </w:rPr>
        <w:t xml:space="preserve">מצד היהדות, העבודה הראתה כי המשפט העברי העמיד את האישה כסובייקט מוסרי שווה-אחריות מאות שנים לפני שהקרימינולוגיה המדעית נפרדה מהסבריה המהותניים, וכי המסורת מסבירה את מיעוט העבירה הנשית באמצעות אותם מנגנונים עצמם, בלבוש נורמטיבי: צניעות כתיחום זירות, קהילה כפיקוח, "בינה יתרה" כחוסן מוסרי, והרחבת גישה לצדק כמניעת עבריינות. ההשוואה מלמדת אפוא כי שתי מערכות הידע, שצמחו במרחק אלפי שנים זו מזו, זיהו את אותה אמת חברתית יסודית: העבירה משגשגת במרחבי הפקרות, והיא נבלמת בקשר, במחויבות ובמשמעות.</w:t>
      </w:r>
    </w:p>
    <w:p>
      <w:pPr>
        <w:bidi/>
        <w:spacing w:after="160" w:before="0" w:line="360"/>
        <w:jc w:val="both"/>
      </w:pPr>
      <w:r>
        <w:rPr>
          <w:rFonts w:ascii="David" w:cs="David" w:eastAsia="David" w:hAnsi="David"/>
          <w:sz w:val="24"/>
          <w:szCs w:val="24"/>
          <w:rtl/>
        </w:rPr>
        <w:t xml:space="preserve">מן המסקנות נגזרות שלוש המלצות יישומיות. ראשית, בתחום השיקום: מערך הטיפול בכלואות בישראל, המרוכז בנווה תרצה, ראוי שיכלול מיפוי שיטתי של היסטוריית קורבנות בקבלת כל אסירה, ותוכניות שיקום מגדריות-רגישות המשלבות רכיבי משמעות, קהילה ותיקון ברוח הקרימינולוגיה החיובית והרוחנית, שהראו תוצאות מבטיחות בקרב נשים (בן יאיר, 2021; יכימוביץ-כהן, 2017; Eytan &amp; Ronel, 2023). שנית, בתחום המניעה: הואיל ועבירות רבות של נשים צומחות מחסימת גישה לצדק ולאמצעים לגיטימיים, הרחבת הסיוע המשפטי והחברתי לנשים במצוקה היא כלי מניעת עבריינות ישיר, מסקנה שהעבודה הראתה כי היא מעוגנת כבר בקריאה המקראית (ברק-ארז, 2023). שלישית, בתחום האכיפה: על קובעי המדיניות להיזהר מהרחבת רשת ענישה על עבירות קלות של נשים מוחלשות, שכן הניסיון הבין-לאומי מלמד שכך נוצרת "התכנסות מגדרית" מדומה שמחירה מוטל על החלשות ביותר (Estrada et al., 2016; Sela-Shayovitz, 2017).</w:t>
      </w:r>
    </w:p>
    <w:p>
      <w:pPr>
        <w:bidi/>
        <w:spacing w:after="160" w:before="0" w:line="360"/>
        <w:jc w:val="both"/>
      </w:pPr>
      <w:r>
        <w:rPr>
          <w:rFonts w:ascii="David" w:cs="David" w:eastAsia="David" w:hAnsi="David"/>
          <w:sz w:val="24"/>
          <w:szCs w:val="24"/>
          <w:rtl/>
        </w:rPr>
        <w:t xml:space="preserve">בשורה התחתונה, ההשוואה בין היהדות לקרימינולוגיה אינה רק מפגש בין עבר להווה אלא גם אזהרה הדדית. מנגנוני מגן מגדריים גובים מחיר של חירות, והיחלשותם אינה מבטיחה שוויון מיטיב אלא עלולה להפקיר את הנשים הפגיעות ביותר. המבחן האמיתי, לחברה ההלכתית ולחברה הליברלית כאחת, הוא היכולת לשמר את גורמי המגן של קשר, קהילה ומשמעות, בלי לשלם בכבודן ובחירותן של נשים.</w:t>
      </w:r>
    </w:p>
    <w:p>
      <w:pPr>
        <w:pStyle w:val="Heading1"/>
        <w:pageBreakBefore/>
        <w:bidi/>
        <w:spacing w:after="240" w:before="240" w:line="360"/>
        <w:jc w:val="center"/>
      </w:pPr>
      <w:r>
        <w:rPr>
          <w:rFonts w:ascii="David" w:cs="David" w:eastAsia="David" w:hAnsi="David"/>
          <w:b/>
          <w:bCs/>
          <w:color w:val="000000"/>
          <w:sz w:val="30"/>
          <w:szCs w:val="30"/>
          <w:rtl/>
        </w:rPr>
        <w:t xml:space="preserve">ביבליוגרפיה</w:t>
      </w:r>
    </w:p>
    <w:p>
      <w:pPr>
        <w:bidi/>
        <w:spacing w:after="160" w:line="360"/>
        <w:ind w:left="709" w:hanging="709"/>
        <w:jc w:val="right"/>
      </w:pPr>
      <w:r>
        <w:rPr>
          <w:rFonts w:ascii="David" w:cs="David" w:eastAsia="David" w:hAnsi="David"/>
          <w:sz w:val="24"/>
          <w:szCs w:val="24"/>
          <w:rtl/>
        </w:rPr>
        <w:t xml:space="preserve">בן יאיר, י' (2021). קרימינולוגיה רוחנית יהודית: בחזרה לשאלות יסוד. </w:t>
      </w:r>
      <w:r>
        <w:rPr>
          <w:rFonts w:ascii="David" w:cs="David" w:eastAsia="David" w:hAnsi="David"/>
          <w:b/>
          <w:bCs/>
          <w:sz w:val="24"/>
          <w:szCs w:val="24"/>
          <w:rtl/>
        </w:rPr>
        <w:t xml:space="preserve">סוגיות חברתיות בישראל, 30</w:t>
      </w:r>
      <w:r>
        <w:rPr>
          <w:rFonts w:ascii="David" w:cs="David" w:eastAsia="David" w:hAnsi="David"/>
          <w:sz w:val="24"/>
          <w:szCs w:val="24"/>
          <w:rtl/>
        </w:rPr>
        <w:t xml:space="preserve">(2), 368-337.</w:t>
      </w:r>
    </w:p>
    <w:p>
      <w:pPr>
        <w:bidi/>
        <w:spacing w:after="160" w:line="360"/>
        <w:ind w:left="709" w:hanging="709"/>
        <w:jc w:val="right"/>
      </w:pPr>
      <w:r>
        <w:rPr>
          <w:rFonts w:ascii="David" w:cs="David" w:eastAsia="David" w:hAnsi="David"/>
          <w:sz w:val="24"/>
          <w:szCs w:val="24"/>
          <w:rtl/>
        </w:rPr>
        <w:t xml:space="preserve">ברק-ארז, ד' (2023). שופטות ומתדיינות בתנ"ך: על מגדר וגישה לצדק. </w:t>
      </w:r>
      <w:r>
        <w:rPr>
          <w:rFonts w:ascii="David" w:cs="David" w:eastAsia="David" w:hAnsi="David"/>
          <w:b/>
          <w:bCs/>
          <w:sz w:val="24"/>
          <w:szCs w:val="24"/>
          <w:rtl/>
        </w:rPr>
        <w:t xml:space="preserve">משפט וממשל, כה</w:t>
      </w:r>
      <w:r>
        <w:rPr>
          <w:rFonts w:ascii="David" w:cs="David" w:eastAsia="David" w:hAnsi="David"/>
          <w:sz w:val="24"/>
          <w:szCs w:val="24"/>
          <w:rtl/>
        </w:rPr>
        <w:t xml:space="preserve">, 28-15.</w:t>
      </w:r>
    </w:p>
    <w:p>
      <w:pPr>
        <w:bidi/>
        <w:spacing w:after="160" w:line="360"/>
        <w:ind w:left="709" w:hanging="709"/>
        <w:jc w:val="right"/>
      </w:pPr>
      <w:r>
        <w:rPr>
          <w:rFonts w:ascii="David" w:cs="David" w:eastAsia="David" w:hAnsi="David"/>
          <w:sz w:val="24"/>
          <w:szCs w:val="24"/>
          <w:rtl/>
        </w:rPr>
        <w:t xml:space="preserve">יוכט, ע' (2019). טענת אתי-גונה: פרספקטיבות מגדריות על פרשת המעילה של אתי אלון. </w:t>
      </w:r>
      <w:r>
        <w:rPr>
          <w:rFonts w:ascii="David" w:cs="David" w:eastAsia="David" w:hAnsi="David"/>
          <w:b/>
          <w:bCs/>
          <w:sz w:val="24"/>
          <w:szCs w:val="24"/>
          <w:rtl/>
        </w:rPr>
        <w:t xml:space="preserve">משפטים, מט</w:t>
      </w:r>
      <w:r>
        <w:rPr>
          <w:rFonts w:ascii="David" w:cs="David" w:eastAsia="David" w:hAnsi="David"/>
          <w:sz w:val="24"/>
          <w:szCs w:val="24"/>
          <w:rtl/>
        </w:rPr>
        <w:t xml:space="preserve">, 673-619.</w:t>
      </w:r>
    </w:p>
    <w:p>
      <w:pPr>
        <w:bidi/>
        <w:spacing w:after="160" w:line="360"/>
        <w:ind w:left="709" w:hanging="709"/>
        <w:jc w:val="right"/>
      </w:pPr>
      <w:r>
        <w:rPr>
          <w:rFonts w:ascii="David" w:cs="David" w:eastAsia="David" w:hAnsi="David"/>
          <w:sz w:val="24"/>
          <w:szCs w:val="24"/>
          <w:rtl/>
        </w:rPr>
        <w:t xml:space="preserve">יכימוביץ-כהן, נ' (2017). </w:t>
      </w:r>
      <w:r>
        <w:rPr>
          <w:rFonts w:ascii="David" w:cs="David" w:eastAsia="David" w:hAnsi="David"/>
          <w:b/>
          <w:bCs/>
          <w:sz w:val="24"/>
          <w:szCs w:val="24"/>
          <w:rtl/>
        </w:rPr>
        <w:t xml:space="preserve">היבטים בכליאת נשים בישראל</w:t>
      </w:r>
      <w:r>
        <w:rPr>
          <w:rFonts w:ascii="David" w:cs="David" w:eastAsia="David" w:hAnsi="David"/>
          <w:sz w:val="24"/>
          <w:szCs w:val="24"/>
          <w:rtl/>
        </w:rPr>
        <w:t xml:space="preserve">. הכנסת, מרכז המחקר והמידע.</w:t>
      </w:r>
    </w:p>
    <w:p>
      <w:pPr>
        <w:bidi/>
        <w:spacing w:after="160" w:line="360"/>
        <w:ind w:left="709" w:hanging="709"/>
        <w:jc w:val="right"/>
      </w:pPr>
      <w:r>
        <w:rPr>
          <w:rFonts w:ascii="David" w:cs="David" w:eastAsia="David" w:hAnsi="David"/>
          <w:sz w:val="24"/>
          <w:szCs w:val="24"/>
          <w:rtl/>
        </w:rPr>
        <w:t xml:space="preserve">לבנקרון, נ' (2021). החשודה המיידית: משטרת ישראל חוקרת המתת תינוקות בידי אימהותיהם ונטישתם (1968-1948). </w:t>
      </w:r>
      <w:r>
        <w:rPr>
          <w:rFonts w:ascii="David" w:cs="David" w:eastAsia="David" w:hAnsi="David"/>
          <w:b/>
          <w:bCs/>
          <w:sz w:val="24"/>
          <w:szCs w:val="24"/>
          <w:rtl/>
        </w:rPr>
        <w:t xml:space="preserve">משטרה והיסטוריה, 3</w:t>
      </w:r>
      <w:r>
        <w:rPr>
          <w:rFonts w:ascii="David" w:cs="David" w:eastAsia="David" w:hAnsi="David"/>
          <w:sz w:val="24"/>
          <w:szCs w:val="24"/>
          <w:rtl/>
        </w:rPr>
        <w:t xml:space="preserve">, 154-109.</w:t>
      </w:r>
    </w:p>
    <w:p>
      <w:pPr>
        <w:bidi/>
        <w:spacing w:after="160" w:line="360"/>
        <w:ind w:left="709" w:hanging="709"/>
        <w:jc w:val="right"/>
      </w:pPr>
      <w:r>
        <w:rPr>
          <w:rFonts w:ascii="David" w:cs="David" w:eastAsia="David" w:hAnsi="David"/>
          <w:sz w:val="24"/>
          <w:szCs w:val="24"/>
          <w:rtl/>
        </w:rPr>
        <w:t xml:space="preserve">לרנאו, ח' (2023). </w:t>
      </w:r>
      <w:r>
        <w:rPr>
          <w:rFonts w:ascii="David" w:cs="David" w:eastAsia="David" w:hAnsi="David"/>
          <w:b/>
          <w:bCs/>
          <w:sz w:val="24"/>
          <w:szCs w:val="24"/>
          <w:rtl/>
        </w:rPr>
        <w:t xml:space="preserve">עבריינות ואכיפת החוק: תיאוריה, מדיניות וביקורת</w:t>
      </w:r>
      <w:r>
        <w:rPr>
          <w:rFonts w:ascii="David" w:cs="David" w:eastAsia="David" w:hAnsi="David"/>
          <w:sz w:val="24"/>
          <w:szCs w:val="24"/>
          <w:rtl/>
        </w:rPr>
        <w:t xml:space="preserve">. פרדס.</w:t>
      </w:r>
    </w:p>
    <w:p>
      <w:pPr>
        <w:bidi/>
        <w:spacing w:after="160" w:line="360"/>
        <w:ind w:left="709" w:hanging="709"/>
        <w:jc w:val="right"/>
      </w:pPr>
      <w:r>
        <w:rPr>
          <w:rFonts w:ascii="David" w:cs="David" w:eastAsia="David" w:hAnsi="David"/>
          <w:sz w:val="24"/>
          <w:szCs w:val="24"/>
          <w:rtl/>
        </w:rPr>
        <w:t xml:space="preserve">פרישטוק, מ' (2019). </w:t>
      </w:r>
      <w:r>
        <w:rPr>
          <w:rFonts w:ascii="David" w:cs="David" w:eastAsia="David" w:hAnsi="David"/>
          <w:b/>
          <w:bCs/>
          <w:sz w:val="24"/>
          <w:szCs w:val="24"/>
          <w:rtl/>
        </w:rPr>
        <w:t xml:space="preserve">ויקטימולוגיה ויהדות: תיאוריה, טיפולוגיה, טיפול, מדיניות ויישום</w:t>
      </w:r>
      <w:r>
        <w:rPr>
          <w:rFonts w:ascii="David" w:cs="David" w:eastAsia="David" w:hAnsi="David"/>
          <w:sz w:val="24"/>
          <w:szCs w:val="24"/>
          <w:rtl/>
        </w:rPr>
        <w:t xml:space="preserve">. אח.</w:t>
      </w:r>
    </w:p>
    <w:p>
      <w:pPr>
        <w:bidi/>
        <w:spacing w:after="160" w:line="360"/>
        <w:ind w:left="709" w:hanging="709"/>
        <w:jc w:val="right"/>
      </w:pPr>
      <w:r>
        <w:rPr>
          <w:rFonts w:ascii="David" w:cs="David" w:eastAsia="David" w:hAnsi="David"/>
          <w:sz w:val="24"/>
          <w:szCs w:val="24"/>
          <w:rtl/>
        </w:rPr>
        <w:t xml:space="preserve">קאר, ג' (2024). נרטיבים של התנגדות, פשרה מוסרית ופשיעה: העדויות של יוליה בריכטה, ניצולת רוונסבריק. </w:t>
      </w:r>
      <w:r>
        <w:rPr>
          <w:rFonts w:ascii="David" w:cs="David" w:eastAsia="David" w:hAnsi="David"/>
          <w:b/>
          <w:bCs/>
          <w:sz w:val="24"/>
          <w:szCs w:val="24"/>
          <w:rtl/>
        </w:rPr>
        <w:t xml:space="preserve">דפים לחקר השואה, לו</w:t>
      </w:r>
      <w:r>
        <w:rPr>
          <w:rFonts w:ascii="David" w:cs="David" w:eastAsia="David" w:hAnsi="David"/>
          <w:sz w:val="24"/>
          <w:szCs w:val="24"/>
          <w:rtl/>
        </w:rPr>
        <w:t xml:space="preserve">, 114-90.</w:t>
      </w:r>
    </w:p>
    <w:p>
      <w:pPr>
        <w:bidi w:val="false"/>
        <w:spacing w:after="160" w:line="360"/>
        <w:ind w:left="709" w:hanging="709"/>
        <w:jc w:val="left"/>
      </w:pPr>
      <w:r>
        <w:rPr>
          <w:rFonts w:ascii="Times New Roman" w:cs="Times New Roman" w:eastAsia="Times New Roman" w:hAnsi="Times New Roman"/>
          <w:sz w:val="24"/>
          <w:szCs w:val="24"/>
        </w:rPr>
        <w:t xml:space="preserve">Adamczyk, A., Freilich, J. D., &amp; Kim, C. (2017). Religion and crime: A systematic review and assessment of next steps. </w:t>
      </w:r>
      <w:r>
        <w:rPr>
          <w:rFonts w:ascii="Times New Roman" w:cs="Times New Roman" w:eastAsia="Times New Roman" w:hAnsi="Times New Roman"/>
          <w:i/>
          <w:iCs/>
          <w:sz w:val="24"/>
          <w:szCs w:val="24"/>
        </w:rPr>
        <w:t xml:space="preserve">Sociology of Religion, 78</w:t>
      </w:r>
      <w:r>
        <w:rPr>
          <w:rFonts w:ascii="Times New Roman" w:cs="Times New Roman" w:eastAsia="Times New Roman" w:hAnsi="Times New Roman"/>
          <w:sz w:val="24"/>
          <w:szCs w:val="24"/>
        </w:rPr>
        <w:t xml:space="preserve">(2), 192-232. https://doi.org/10.1093/socrel/srx012</w:t>
      </w:r>
    </w:p>
    <w:p>
      <w:pPr>
        <w:bidi w:val="false"/>
        <w:spacing w:after="160" w:line="360"/>
        <w:ind w:left="709" w:hanging="709"/>
        <w:jc w:val="left"/>
      </w:pPr>
      <w:r>
        <w:rPr>
          <w:rFonts w:ascii="Times New Roman" w:cs="Times New Roman" w:eastAsia="Times New Roman" w:hAnsi="Times New Roman"/>
          <w:sz w:val="24"/>
          <w:szCs w:val="24"/>
        </w:rPr>
        <w:t xml:space="preserve">Beatton, T., Kidd, M. P., &amp; Machin, S. (2018). Gender crime convergence over twenty years: Evidence from Australia. </w:t>
      </w:r>
      <w:r>
        <w:rPr>
          <w:rFonts w:ascii="Times New Roman" w:cs="Times New Roman" w:eastAsia="Times New Roman" w:hAnsi="Times New Roman"/>
          <w:i/>
          <w:iCs/>
          <w:sz w:val="24"/>
          <w:szCs w:val="24"/>
        </w:rPr>
        <w:t xml:space="preserve">European Economic Review, 109</w:t>
      </w:r>
      <w:r>
        <w:rPr>
          <w:rFonts w:ascii="Times New Roman" w:cs="Times New Roman" w:eastAsia="Times New Roman" w:hAnsi="Times New Roman"/>
          <w:sz w:val="24"/>
          <w:szCs w:val="24"/>
        </w:rPr>
        <w:t xml:space="preserve">, 275-288.</w:t>
      </w:r>
    </w:p>
    <w:p>
      <w:pPr>
        <w:bidi w:val="false"/>
        <w:spacing w:after="160" w:line="360"/>
        <w:ind w:left="709" w:hanging="709"/>
        <w:jc w:val="left"/>
      </w:pPr>
      <w:r>
        <w:rPr>
          <w:rFonts w:ascii="Times New Roman" w:cs="Times New Roman" w:eastAsia="Times New Roman" w:hAnsi="Times New Roman"/>
          <w:sz w:val="24"/>
          <w:szCs w:val="24"/>
        </w:rPr>
        <w:t xml:space="preserve">Ben Yair, Y. (2021). Intervention and rehabilitation methods with offenders—from the Jewish scriptures to the criminological field. </w:t>
      </w:r>
      <w:r>
        <w:rPr>
          <w:rFonts w:ascii="Times New Roman" w:cs="Times New Roman" w:eastAsia="Times New Roman" w:hAnsi="Times New Roman"/>
          <w:i/>
          <w:iCs/>
          <w:sz w:val="24"/>
          <w:szCs w:val="24"/>
        </w:rPr>
        <w:t xml:space="preserve">Journal of Offender Rehabilitation, 60</w:t>
      </w:r>
      <w:r>
        <w:rPr>
          <w:rFonts w:ascii="Times New Roman" w:cs="Times New Roman" w:eastAsia="Times New Roman" w:hAnsi="Times New Roman"/>
          <w:sz w:val="24"/>
          <w:szCs w:val="24"/>
        </w:rPr>
        <w:t xml:space="preserve">(1), 1-18.</w:t>
      </w:r>
    </w:p>
    <w:p>
      <w:pPr>
        <w:bidi w:val="false"/>
        <w:spacing w:after="160" w:line="360"/>
        <w:ind w:left="709" w:hanging="709"/>
        <w:jc w:val="left"/>
      </w:pPr>
      <w:r>
        <w:rPr>
          <w:rFonts w:ascii="Times New Roman" w:cs="Times New Roman" w:eastAsia="Times New Roman" w:hAnsi="Times New Roman"/>
          <w:sz w:val="24"/>
          <w:szCs w:val="24"/>
        </w:rPr>
        <w:t xml:space="preserve">Campaniello, N. (2019). Women in crime. </w:t>
      </w:r>
      <w:r>
        <w:rPr>
          <w:rFonts w:ascii="Times New Roman" w:cs="Times New Roman" w:eastAsia="Times New Roman" w:hAnsi="Times New Roman"/>
          <w:i/>
          <w:iCs/>
          <w:sz w:val="24"/>
          <w:szCs w:val="24"/>
        </w:rPr>
        <w:t xml:space="preserve">IZA World of Labor, 105</w:t>
      </w:r>
      <w:r>
        <w:rPr>
          <w:rFonts w:ascii="Times New Roman" w:cs="Times New Roman" w:eastAsia="Times New Roman" w:hAnsi="Times New Roman"/>
          <w:sz w:val="24"/>
          <w:szCs w:val="24"/>
        </w:rPr>
        <w:t xml:space="preserve">(2), 1-12.</w:t>
      </w:r>
    </w:p>
    <w:p>
      <w:pPr>
        <w:bidi w:val="false"/>
        <w:spacing w:after="160" w:line="360"/>
        <w:ind w:left="709" w:hanging="709"/>
        <w:jc w:val="left"/>
      </w:pPr>
      <w:r>
        <w:rPr>
          <w:rFonts w:ascii="Times New Roman" w:cs="Times New Roman" w:eastAsia="Times New Roman" w:hAnsi="Times New Roman"/>
          <w:sz w:val="24"/>
          <w:szCs w:val="24"/>
        </w:rPr>
        <w:t xml:space="preserve">Estrada, F., Bäckman, O., &amp; Nilsson, A. (2016). The darker side of equality? The declining gender gap in crime: Historical trends and an enhanced analysis of staggered birth cohorts. </w:t>
      </w:r>
      <w:r>
        <w:rPr>
          <w:rFonts w:ascii="Times New Roman" w:cs="Times New Roman" w:eastAsia="Times New Roman" w:hAnsi="Times New Roman"/>
          <w:i/>
          <w:iCs/>
          <w:sz w:val="24"/>
          <w:szCs w:val="24"/>
        </w:rPr>
        <w:t xml:space="preserve">British Journal of Criminology, 56</w:t>
      </w:r>
      <w:r>
        <w:rPr>
          <w:rFonts w:ascii="Times New Roman" w:cs="Times New Roman" w:eastAsia="Times New Roman" w:hAnsi="Times New Roman"/>
          <w:sz w:val="24"/>
          <w:szCs w:val="24"/>
        </w:rPr>
        <w:t xml:space="preserve">(6), 1272-1290. https://doi.org/10.1093/bjc/azv114</w:t>
      </w:r>
    </w:p>
    <w:p>
      <w:pPr>
        <w:bidi w:val="false"/>
        <w:spacing w:after="160" w:line="360"/>
        <w:ind w:left="709" w:hanging="709"/>
        <w:jc w:val="left"/>
      </w:pPr>
      <w:r>
        <w:rPr>
          <w:rFonts w:ascii="Times New Roman" w:cs="Times New Roman" w:eastAsia="Times New Roman" w:hAnsi="Times New Roman"/>
          <w:sz w:val="24"/>
          <w:szCs w:val="24"/>
        </w:rPr>
        <w:t xml:space="preserve">Eytan, S., &amp; Ronel, N. (2023). From looking for reason to finding meaning: A spiritual journey of recovery from sexual trauma. </w:t>
      </w:r>
      <w:r>
        <w:rPr>
          <w:rFonts w:ascii="Times New Roman" w:cs="Times New Roman" w:eastAsia="Times New Roman" w:hAnsi="Times New Roman"/>
          <w:i/>
          <w:iCs/>
          <w:sz w:val="24"/>
          <w:szCs w:val="24"/>
        </w:rPr>
        <w:t xml:space="preserve">Journal of Interpersonal Violence, 38</w:t>
      </w:r>
      <w:r>
        <w:rPr>
          <w:rFonts w:ascii="Times New Roman" w:cs="Times New Roman" w:eastAsia="Times New Roman" w:hAnsi="Times New Roman"/>
          <w:sz w:val="24"/>
          <w:szCs w:val="24"/>
        </w:rPr>
        <w:t xml:space="preserve">(11-12), 7404-7425.</w:t>
      </w:r>
    </w:p>
    <w:p>
      <w:pPr>
        <w:bidi w:val="false"/>
        <w:spacing w:after="160" w:line="360"/>
        <w:ind w:left="709" w:hanging="709"/>
        <w:jc w:val="left"/>
      </w:pPr>
      <w:r>
        <w:rPr>
          <w:rFonts w:ascii="Times New Roman" w:cs="Times New Roman" w:eastAsia="Times New Roman" w:hAnsi="Times New Roman"/>
          <w:sz w:val="24"/>
          <w:szCs w:val="24"/>
        </w:rPr>
        <w:t xml:space="preserve">Naegler, L., &amp; Salman, S. (2016). Cultural criminology and gender consciousness: Moving feminist theory from margin to center. </w:t>
      </w:r>
      <w:r>
        <w:rPr>
          <w:rFonts w:ascii="Times New Roman" w:cs="Times New Roman" w:eastAsia="Times New Roman" w:hAnsi="Times New Roman"/>
          <w:i/>
          <w:iCs/>
          <w:sz w:val="24"/>
          <w:szCs w:val="24"/>
        </w:rPr>
        <w:t xml:space="preserve">Feminist Criminology, 11</w:t>
      </w:r>
      <w:r>
        <w:rPr>
          <w:rFonts w:ascii="Times New Roman" w:cs="Times New Roman" w:eastAsia="Times New Roman" w:hAnsi="Times New Roman"/>
          <w:sz w:val="24"/>
          <w:szCs w:val="24"/>
        </w:rPr>
        <w:t xml:space="preserve">(4), 354-374.</w:t>
      </w:r>
    </w:p>
    <w:p>
      <w:pPr>
        <w:bidi w:val="false"/>
        <w:spacing w:after="160" w:line="360"/>
        <w:ind w:left="709" w:hanging="709"/>
        <w:jc w:val="left"/>
      </w:pPr>
      <w:r>
        <w:rPr>
          <w:rFonts w:ascii="Times New Roman" w:cs="Times New Roman" w:eastAsia="Times New Roman" w:hAnsi="Times New Roman"/>
          <w:sz w:val="24"/>
          <w:szCs w:val="24"/>
        </w:rPr>
        <w:t xml:space="preserve">Nilsson, E.-L. (2017). Analyzing gender differences in the relationship between family influences and adolescent offending among boys and girls. </w:t>
      </w:r>
      <w:r>
        <w:rPr>
          <w:rFonts w:ascii="Times New Roman" w:cs="Times New Roman" w:eastAsia="Times New Roman" w:hAnsi="Times New Roman"/>
          <w:i/>
          <w:iCs/>
          <w:sz w:val="24"/>
          <w:szCs w:val="24"/>
        </w:rPr>
        <w:t xml:space="preserve">Child Indicators Research, 10</w:t>
      </w:r>
      <w:r>
        <w:rPr>
          <w:rFonts w:ascii="Times New Roman" w:cs="Times New Roman" w:eastAsia="Times New Roman" w:hAnsi="Times New Roman"/>
          <w:sz w:val="24"/>
          <w:szCs w:val="24"/>
        </w:rPr>
        <w:t xml:space="preserve">(4), 1079-1094. https://doi.org/10.1007/s12187-016-9435-6</w:t>
      </w:r>
    </w:p>
    <w:p>
      <w:pPr>
        <w:bidi w:val="false"/>
        <w:spacing w:after="160" w:line="360"/>
        <w:ind w:left="709" w:hanging="709"/>
        <w:jc w:val="left"/>
      </w:pPr>
      <w:r>
        <w:rPr>
          <w:rFonts w:ascii="Times New Roman" w:cs="Times New Roman" w:eastAsia="Times New Roman" w:hAnsi="Times New Roman"/>
          <w:sz w:val="24"/>
          <w:szCs w:val="24"/>
        </w:rPr>
        <w:t xml:space="preserve">Savolainen, J., Applin, S., Messner, S. F., Hughes, L. A., Lytle, R., &amp; Kivivuori, J. (2017). Does the gender gap in delinquency vary by level of patriarchy? A cross-national comparative analysis. </w:t>
      </w:r>
      <w:r>
        <w:rPr>
          <w:rFonts w:ascii="Times New Roman" w:cs="Times New Roman" w:eastAsia="Times New Roman" w:hAnsi="Times New Roman"/>
          <w:i/>
          <w:iCs/>
          <w:sz w:val="24"/>
          <w:szCs w:val="24"/>
        </w:rPr>
        <w:t xml:space="preserve">Criminology, 55</w:t>
      </w:r>
      <w:r>
        <w:rPr>
          <w:rFonts w:ascii="Times New Roman" w:cs="Times New Roman" w:eastAsia="Times New Roman" w:hAnsi="Times New Roman"/>
          <w:sz w:val="24"/>
          <w:szCs w:val="24"/>
        </w:rPr>
        <w:t xml:space="preserve">(4), 726-753. https://doi.org/10.1111/1745-9125.12161</w:t>
      </w:r>
    </w:p>
    <w:p>
      <w:pPr>
        <w:bidi w:val="false"/>
        <w:spacing w:after="160" w:line="360"/>
        <w:ind w:left="709" w:hanging="709"/>
        <w:jc w:val="left"/>
      </w:pPr>
      <w:r>
        <w:rPr>
          <w:rFonts w:ascii="Times New Roman" w:cs="Times New Roman" w:eastAsia="Times New Roman" w:hAnsi="Times New Roman"/>
          <w:sz w:val="24"/>
          <w:szCs w:val="24"/>
        </w:rPr>
        <w:t xml:space="preserve">Sela-Shayovitz, R. (2017). Where are the girls? Gender trends in juvenile crime. </w:t>
      </w:r>
      <w:r>
        <w:rPr>
          <w:rFonts w:ascii="Times New Roman" w:cs="Times New Roman" w:eastAsia="Times New Roman" w:hAnsi="Times New Roman"/>
          <w:i/>
          <w:iCs/>
          <w:sz w:val="24"/>
          <w:szCs w:val="24"/>
        </w:rPr>
        <w:t xml:space="preserve">Journal of Social Science Studies, 4</w:t>
      </w:r>
      <w:r>
        <w:rPr>
          <w:rFonts w:ascii="Times New Roman" w:cs="Times New Roman" w:eastAsia="Times New Roman" w:hAnsi="Times New Roman"/>
          <w:sz w:val="24"/>
          <w:szCs w:val="24"/>
        </w:rPr>
        <w:t xml:space="preserve">(2), 71-85.</w:t>
      </w:r>
    </w:p>
    <w:p>
      <w:pPr>
        <w:bidi w:val="false"/>
        <w:spacing w:after="160" w:line="360"/>
        <w:ind w:left="709" w:hanging="709"/>
        <w:jc w:val="left"/>
      </w:pPr>
      <w:r>
        <w:rPr>
          <w:rFonts w:ascii="Times New Roman" w:cs="Times New Roman" w:eastAsia="Times New Roman" w:hAnsi="Times New Roman"/>
          <w:sz w:val="24"/>
          <w:szCs w:val="24"/>
        </w:rPr>
        <w:t xml:space="preserve">van der Heijden, M. (2024). Long-term trends in gender and crime. </w:t>
      </w:r>
      <w:r>
        <w:rPr>
          <w:rFonts w:ascii="Times New Roman" w:cs="Times New Roman" w:eastAsia="Times New Roman" w:hAnsi="Times New Roman"/>
          <w:i/>
          <w:iCs/>
          <w:sz w:val="24"/>
          <w:szCs w:val="24"/>
        </w:rPr>
        <w:t xml:space="preserve">Crime and Justice, 53</w:t>
      </w:r>
      <w:r>
        <w:rPr>
          <w:rFonts w:ascii="Times New Roman" w:cs="Times New Roman" w:eastAsia="Times New Roman" w:hAnsi="Times New Roman"/>
          <w:sz w:val="24"/>
          <w:szCs w:val="24"/>
        </w:rPr>
        <w:t xml:space="preserve">(1). https://doi.org/10.1086/733433</w:t>
      </w:r>
    </w:p>
    <w:p>
      <w:pPr>
        <w:bidi/>
        <w:spacing w:after="120" w:before="240" w:line="360"/>
        <w:jc w:val="right"/>
      </w:pPr>
      <w:r>
        <w:rPr>
          <w:rFonts w:ascii="David" w:cs="David" w:eastAsia="David" w:hAnsi="David"/>
          <w:i/>
          <w:iCs/>
          <w:sz w:val="22"/>
          <w:szCs w:val="22"/>
          <w:rtl/>
        </w:rPr>
        <w:t xml:space="preserve">הערה: מקורות המקרא וספרות חז"ל (תנ"ך, משנה ותלמוד בבלי) צוינו בגוף העבודה על פי מראה המקום המקובל.</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5ce4fdf76b58d4cf0096412ef177958ae578a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2026-08-22T07:27:10.117Z</dcterms:created>
  <dcterms:modified xsi:type="dcterms:W3CDTF">2026-08-22T07:27:10.117Z</dcterms:modified>
</cp:coreProperties>
</file>

<file path=docProps/custom.xml><?xml version="1.0" encoding="utf-8"?>
<Properties xmlns="http://schemas.openxmlformats.org/officeDocument/2006/custom-properties" xmlns:vt="http://schemas.openxmlformats.org/officeDocument/2006/docPropsVTypes"/>
</file>