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drawing>
          <wp:inline xmlns:a="http://schemas.openxmlformats.org/drawingml/2006/main" xmlns:pic="http://schemas.openxmlformats.org/drawingml/2006/picture">
            <wp:extent cx="1655999" cy="1655999"/>
            <wp:docPr id="1" name="Picture 1"/>
            <wp:cNvGraphicFramePr>
              <a:graphicFrameLocks noChangeAspect="1"/>
            </wp:cNvGraphicFramePr>
            <a:graphic>
              <a:graphicData uri="http://schemas.openxmlformats.org/drawingml/2006/picture">
                <pic:pic>
                  <pic:nvPicPr>
                    <pic:cNvPr id="0" name="logo_ono.jpeg"/>
                    <pic:cNvPicPr/>
                  </pic:nvPicPr>
                  <pic:blipFill>
                    <a:blip r:embed="rId9"/>
                    <a:stretch>
                      <a:fillRect/>
                    </a:stretch>
                  </pic:blipFill>
                  <pic:spPr>
                    <a:xfrm>
                      <a:off x="0" y="0"/>
                      <a:ext cx="1655999" cy="1655999"/>
                    </a:xfrm>
                    <a:prstGeom prst="rect"/>
                  </pic:spPr>
                </pic:pic>
              </a:graphicData>
            </a:graphic>
          </wp:inline>
        </w:drawing>
      </w:r>
    </w:p>
    <w:p>
      <w:pPr>
        <w:bidi/>
        <w:spacing w:after="120" w:before="0" w:line="360" w:lineRule="auto"/>
        <w:jc w:val="center"/>
      </w:pPr>
      <w:r>
        <w:rPr>
          <w:rFonts w:ascii="David" w:hAnsi="David" w:cs="David"/>
          <w:b w:val="0"/>
          <w:color w:val="000000"/>
          <w:sz w:val="28"/>
          <w:szCs w:val="28"/>
          <w:rtl w:val="1"/>
        </w:rPr>
        <w:t>הקריה האקדמית אונו</w:t>
      </w:r>
    </w:p>
    <w:p>
      <w:pPr>
        <w:bidi/>
        <w:spacing w:after="120" w:before="0" w:line="360" w:lineRule="auto"/>
        <w:jc w:val="center"/>
      </w:pPr>
      <w:r>
        <w:rPr>
          <w:rFonts w:ascii="David" w:hAnsi="David" w:cs="David"/>
          <w:b w:val="0"/>
          <w:color w:val="000000"/>
          <w:sz w:val="28"/>
          <w:szCs w:val="28"/>
          <w:rtl w:val="1"/>
        </w:rPr>
        <w:t>הפקולטה למדעי הרוח והחברה, החוג לחינוך וחברה</w:t>
      </w:r>
    </w:p>
    <w:p>
      <w:pPr>
        <w:bidi/>
        <w:spacing w:after="120" w:before="0" w:line="360" w:lineRule="auto"/>
        <w:jc w:val="center"/>
      </w:pPr>
      <w:r>
        <w:rPr>
          <w:rFonts w:ascii="David" w:hAnsi="David" w:cs="David"/>
          <w:b w:val="0"/>
          <w:color w:val="000000"/>
          <w:sz w:val="28"/>
          <w:szCs w:val="28"/>
          <w:rtl w:val="1"/>
        </w:rPr>
        <w:t>הקורס: מסנגור עצמי לסנגור קהילתי. מרצה: ד"ר נצן אלמוג</w:t>
      </w:r>
    </w:p>
    <w:p>
      <w:pPr>
        <w:bidi/>
        <w:spacing w:after="0" w:before="0" w:line="360" w:lineRule="auto"/>
        <w:jc w:val="both"/>
      </w:pPr>
      <w:r>
        <w:rPr>
          <w:rFonts w:ascii="David" w:hAnsi="David" w:cs="David"/>
          <w:b w:val="0"/>
          <w:sz w:val="24"/>
          <w:szCs w:val="24"/>
          <w:rtl w:val="1"/>
        </w:rPr>
      </w:r>
    </w:p>
    <w:p>
      <w:pPr>
        <w:bidi/>
        <w:spacing w:after="0" w:before="0" w:line="360" w:lineRule="auto"/>
        <w:jc w:val="both"/>
      </w:pPr>
      <w:r>
        <w:rPr>
          <w:rFonts w:ascii="David" w:hAnsi="David" w:cs="David"/>
          <w:b w:val="0"/>
          <w:sz w:val="24"/>
          <w:szCs w:val="24"/>
          <w:rtl w:val="1"/>
        </w:rPr>
      </w:r>
    </w:p>
    <w:p>
      <w:pPr>
        <w:bidi/>
        <w:spacing w:after="120" w:before="0" w:line="360" w:lineRule="auto"/>
        <w:jc w:val="center"/>
      </w:pPr>
      <w:r>
        <w:rPr>
          <w:rFonts w:ascii="David" w:hAnsi="David" w:cs="David"/>
          <w:b/>
          <w:bCs/>
          <w:color w:val="000000"/>
          <w:sz w:val="60"/>
          <w:szCs w:val="60"/>
          <w:rtl w:val="1"/>
        </w:rPr>
        <w:t>מעבדת הסנגור</w:t>
      </w:r>
    </w:p>
    <w:p>
      <w:pPr>
        <w:bidi/>
        <w:spacing w:after="600" w:before="0" w:line="360" w:lineRule="auto"/>
        <w:jc w:val="center"/>
      </w:pPr>
      <w:r>
        <w:rPr>
          <w:rFonts w:ascii="David" w:hAnsi="David" w:cs="David"/>
          <w:b w:val="0"/>
          <w:color w:val="000000"/>
          <w:sz w:val="36"/>
          <w:szCs w:val="36"/>
          <w:rtl w:val="1"/>
        </w:rPr>
        <w:t>מסנגור עצמי בכיתה לסנגור קהילתי</w:t>
      </w:r>
    </w:p>
    <w:p>
      <w:pPr>
        <w:bidi/>
        <w:spacing w:after="800" w:before="0" w:line="360" w:lineRule="auto"/>
        <w:jc w:val="center"/>
      </w:pPr>
      <w:r>
        <w:rPr>
          <w:rFonts w:ascii="David" w:hAnsi="David" w:cs="David"/>
          <w:b/>
          <w:bCs/>
          <w:color w:val="000000"/>
          <w:sz w:val="40"/>
          <w:szCs w:val="40"/>
          <w:rtl w:val="1"/>
        </w:rPr>
        <w:t>יוזמה לקידום סוכנות עצמית בקרב תלמידים עם מוגבלות בלתי נראית</w:t>
      </w:r>
    </w:p>
    <w:p>
      <w:pPr>
        <w:bidi/>
        <w:spacing w:after="120" w:before="0" w:line="360" w:lineRule="auto"/>
        <w:jc w:val="center"/>
      </w:pPr>
      <w:r>
        <w:rPr>
          <w:rFonts w:ascii="David" w:hAnsi="David" w:cs="David"/>
          <w:b w:val="0"/>
          <w:color w:val="000000"/>
          <w:sz w:val="28"/>
          <w:szCs w:val="28"/>
          <w:rtl w:val="1"/>
        </w:rPr>
        <w:t>מגישות: מרים והדיר</w:t>
      </w:r>
    </w:p>
    <w:p>
      <w:pPr>
        <w:bidi/>
        <w:spacing w:after="120" w:before="0" w:line="360" w:lineRule="auto"/>
        <w:jc w:val="center"/>
      </w:pPr>
      <w:r>
        <w:rPr>
          <w:rFonts w:ascii="David" w:hAnsi="David" w:cs="David"/>
          <w:b w:val="0"/>
          <w:color w:val="000000"/>
          <w:sz w:val="28"/>
          <w:szCs w:val="28"/>
          <w:rtl w:val="1"/>
        </w:rPr>
        <w:t>שנת הלימודים תשפ"ו, סמסטר ב'. תאריך הגשה: 26.7.2026</w:t>
      </w:r>
    </w:p>
    <w:p>
      <w:pPr>
        <w:bidi/>
      </w:pPr>
      <w:r>
        <w:br w:type="page"/>
      </w:r>
    </w:p>
    <w:p>
      <w:pPr>
        <w:pStyle w:val="Heading1"/>
        <w:bidi/>
        <w:spacing w:before="200" w:after="200" w:line="312" w:lineRule="auto"/>
        <w:jc w:val="right"/>
      </w:pPr>
      <w:r>
        <w:rPr>
          <w:rFonts w:ascii="David" w:hAnsi="David" w:cs="David"/>
          <w:b/>
          <w:bCs/>
          <w:color w:val="000000"/>
          <w:sz w:val="34"/>
          <w:szCs w:val="34"/>
          <w:rtl w:val="1"/>
        </w:rPr>
        <w:t>מבוא ורציונל</w:t>
      </w:r>
    </w:p>
    <w:p>
      <w:pPr>
        <w:bidi/>
        <w:spacing w:after="160" w:before="0" w:line="360" w:lineRule="auto"/>
        <w:jc w:val="both"/>
      </w:pPr>
      <w:r>
        <w:rPr>
          <w:rFonts w:ascii="David" w:hAnsi="David" w:cs="David"/>
          <w:b w:val="0"/>
          <w:sz w:val="24"/>
          <w:szCs w:val="24"/>
          <w:rtl w:val="1"/>
        </w:rPr>
        <w:t>לאורך הסמסטר עברנו דרך שלמה, מהבנת האדם כסוכן פעיל שמנהל את חייו ואת צרכיו, ועד להבנת הכוח של הקהילה לשנות מציאות חברתית ומערכתית. היוזמה שאנחנו מציגות כאן, "מעבדת הסנגור", נולדה מתוך המסע הזה. היא מבקשת לקחת תלמידה או תלמיד עם מוגבלות בלתי נראית, כזו שלא רואים עליה מבחוץ, כמו לקות למידה, הפרעת קשב או אוטיזם, ולתת בידיהם את הכלים לדבר בעד עצמם. לא כדי שיבקשו טובה, אלא כדי שידעו לבקש את מה שמגיע להם, בתור שותפים.</w:t>
      </w:r>
    </w:p>
    <w:p>
      <w:pPr>
        <w:bidi/>
        <w:spacing w:after="160" w:before="0" w:line="360" w:lineRule="auto"/>
        <w:jc w:val="both"/>
      </w:pPr>
      <w:r>
        <w:rPr>
          <w:rFonts w:ascii="David" w:hAnsi="David" w:cs="David"/>
          <w:b w:val="0"/>
          <w:sz w:val="24"/>
          <w:szCs w:val="24"/>
          <w:rtl w:val="1"/>
        </w:rPr>
        <w:t>בחרנו במכוון בשדה החינוך, כי שם הכול מתחיל. בכיתה נקבע אם ילד יגדל להיות מישהו שמחליטים עליו, או מישהו שמחליט על עצמו. רוב הזמן, גם כשהכוונה טובה, מדברים על התלמידים האלה ולא איתם. ההורים מסנגרים, המורים מחליטים, הוועדה מתכנסת, והתלמיד עצמו יושב בחוץ. אנחנו רוצות להפוך את זה. מעבדת הסנגור היא ניסיון קטן ומעשי להזיז את התלמיד מהשוליים של השיחה אל מרכזה.</w:t>
      </w:r>
    </w:p>
    <w:p>
      <w:pPr>
        <w:pStyle w:val="Heading1"/>
        <w:bidi/>
        <w:spacing w:before="200" w:after="200" w:line="312" w:lineRule="auto"/>
        <w:jc w:val="right"/>
      </w:pPr>
      <w:r>
        <w:rPr>
          <w:rFonts w:ascii="David" w:hAnsi="David" w:cs="David"/>
          <w:b/>
          <w:bCs/>
          <w:color w:val="000000"/>
          <w:sz w:val="34"/>
          <w:szCs w:val="34"/>
          <w:rtl w:val="1"/>
        </w:rPr>
        <w:t>זיהוי החסם: פרטני, קהילתי ומערכתי</w:t>
      </w:r>
    </w:p>
    <w:p>
      <w:pPr>
        <w:bidi/>
        <w:spacing w:after="160" w:before="0" w:line="360" w:lineRule="auto"/>
        <w:jc w:val="both"/>
      </w:pPr>
      <w:r>
        <w:rPr>
          <w:rFonts w:ascii="David" w:hAnsi="David" w:cs="David"/>
          <w:b w:val="0"/>
          <w:sz w:val="24"/>
          <w:szCs w:val="24"/>
          <w:rtl w:val="1"/>
        </w:rPr>
        <w:t>החסם הסנגורי שאנחנו מזהות פועל בשלושה מעגלים בבת אחת, ולכן קשה לפרק אותו.</w:t>
      </w:r>
    </w:p>
    <w:p>
      <w:pPr>
        <w:bidi/>
        <w:spacing w:after="160" w:before="0" w:line="360" w:lineRule="auto"/>
        <w:jc w:val="both"/>
      </w:pPr>
      <w:r>
        <w:rPr>
          <w:rFonts w:ascii="David" w:hAnsi="David" w:cs="David"/>
          <w:b w:val="0"/>
          <w:sz w:val="24"/>
          <w:szCs w:val="24"/>
          <w:rtl w:val="1"/>
        </w:rPr>
        <w:t>במעגל הפרטני, התלמיד לא באמת מכיר את עצמו. הוא יודע שקשה לו, אבל לא תמיד יודע להסביר למה, מה החוזקות שלו ומה בדיוק מפריע. Test ועמיתיו (2005) מתארים את "הידע העצמי" ואת "הידע על הזכויות" כשני היסודות של הסנגור העצמי, כי אי אפשר לבקש דבר מאדם אחר לפני שמבינים את עצמנו. כשהיסודות האלה חסרים, התלמיד נשאר פסיבי, ולעיתים קרובות בוחר להסתיר. ההסתרה, המיסוך, גובה מחיר. במקום להשקיע את האנרגיה בלמידה, הוא משקיע אותה בלהיראות "רגיל".</w:t>
      </w:r>
    </w:p>
    <w:p>
      <w:pPr>
        <w:bidi/>
        <w:spacing w:after="160" w:before="0" w:line="360" w:lineRule="auto"/>
        <w:jc w:val="both"/>
      </w:pPr>
      <w:r>
        <w:rPr>
          <w:rFonts w:ascii="David" w:hAnsi="David" w:cs="David"/>
          <w:b w:val="0"/>
          <w:sz w:val="24"/>
          <w:szCs w:val="24"/>
          <w:rtl w:val="1"/>
        </w:rPr>
        <w:t>במעגל הקהילתי, הכיתה. תרבות הכיתה לא תמיד מקבלת שונות, והחשיפה מרגישה מסוכנת. Sasson ו-Morrison (2019) מצאו שדווקא כאשר עולה הידע של הסביבה על האוטיזם, והאדם חושף את האבחנה שלו, הרושם הראשוני משתפר. כלומר, הבעיה היא לא באדם עצמו אלא בפער הידע של מי שסביבו. תלמיד שאין לו קהילת שווים תומכת נשאר לבד עם הסוד שלו.</w:t>
      </w:r>
    </w:p>
    <w:p>
      <w:pPr>
        <w:bidi/>
        <w:spacing w:after="160" w:before="0" w:line="360" w:lineRule="auto"/>
        <w:jc w:val="both"/>
      </w:pPr>
      <w:r>
        <w:rPr>
          <w:rFonts w:ascii="David" w:hAnsi="David" w:cs="David"/>
          <w:b w:val="0"/>
          <w:sz w:val="24"/>
          <w:szCs w:val="24"/>
          <w:rtl w:val="1"/>
        </w:rPr>
        <w:t>במעגל המערכתי, מוסדות בית הספר. ועדות השילוב ותוכניות ההתאמה נבנות פעמים רבות בלי התלמיד עצמו, בשפה של אבחנה וליקוי ולא בשפה של זכויות. טולוב ושלומאי (2019), שכתבו על הרפורמה בחוק הכשרות המשפטית והאפוטרופסות, מתארים מעבר מ"שיח טיפולי" שמתמקד ב"טובת האדם" אל "שיח של זכויות" שמתמקד ברצונו. הפער הזה בין טובת האדם לבין רצונו הוא בדיוק מה שקורה בכיתה, כשמחליטים עבור התלמיד "לטובתו" בלי לשאול אותו.</w:t>
      </w:r>
    </w:p>
    <w:p>
      <w:pPr>
        <w:pStyle w:val="Heading1"/>
        <w:bidi/>
        <w:spacing w:before="200" w:after="200" w:line="312" w:lineRule="auto"/>
        <w:jc w:val="right"/>
      </w:pPr>
      <w:r>
        <w:rPr>
          <w:rFonts w:ascii="David" w:hAnsi="David" w:cs="David"/>
          <w:b/>
          <w:bCs/>
          <w:color w:val="000000"/>
          <w:sz w:val="34"/>
          <w:szCs w:val="34"/>
          <w:rtl w:val="1"/>
        </w:rPr>
        <w:t>ביסוס תיאורטי</w:t>
      </w:r>
    </w:p>
    <w:p>
      <w:pPr>
        <w:bidi/>
        <w:spacing w:after="160" w:before="0" w:line="360" w:lineRule="auto"/>
        <w:jc w:val="both"/>
      </w:pPr>
      <w:r>
        <w:rPr>
          <w:rFonts w:ascii="David" w:hAnsi="David" w:cs="David"/>
          <w:b w:val="0"/>
          <w:sz w:val="24"/>
          <w:szCs w:val="24"/>
          <w:rtl w:val="1"/>
        </w:rPr>
        <w:t>היוזמה נשענת על כמה מהמושגים המרכזיים שלמדנו בקורס, והם מתחברים זה לזה כמו שלבים במסע.</w:t>
      </w:r>
    </w:p>
    <w:p>
      <w:pPr>
        <w:bidi/>
        <w:spacing w:after="160" w:before="0" w:line="360" w:lineRule="auto"/>
        <w:jc w:val="both"/>
      </w:pPr>
      <w:r>
        <w:rPr>
          <w:rFonts w:ascii="David" w:hAnsi="David" w:cs="David"/>
          <w:b w:val="0"/>
          <w:sz w:val="24"/>
          <w:szCs w:val="24"/>
          <w:rtl w:val="1"/>
        </w:rPr>
        <w:t>נקודת המוצא היא הסנגור העצמי כחלק מהכוונה עצמית. Test ועמיתיו (2005) מציעים את מסגרת RASE, ארבעה רכיבים של סנגור עצמי: ידע עצמי, ידע על זכויות, תקשורת ומנהיגות. שני הראשונים הם היסוד, השלישי הוא הביטוי כלפי חוץ, והרביעי, המנהיגות, הוא מה שמעביר את האדם מסנגור על עצמו לסנגור על אחרים כקבוצה. בדיוק שם עובר הקו מהסנגור העצמי לסנגור הקהילתי. Kim (2019) מוסיפה ומראה שההכוונה העצמית של בוגרים על הרצף באה לידי ביטוי בחמישה תחומי חיים, וביניהם הסנגור עצמו וגיבוש זהות חיובית. במילים אחרות, לדבר בעד עצמך זה לא רק כלי מעשי, זה חלק מאיכות החיים.</w:t>
      </w:r>
    </w:p>
    <w:p>
      <w:pPr>
        <w:bidi/>
        <w:spacing w:after="160" w:before="0" w:line="360" w:lineRule="auto"/>
        <w:jc w:val="both"/>
      </w:pPr>
      <w:r>
        <w:rPr>
          <w:rFonts w:ascii="David" w:hAnsi="David" w:cs="David"/>
          <w:b w:val="0"/>
          <w:sz w:val="24"/>
          <w:szCs w:val="24"/>
          <w:rtl w:val="1"/>
        </w:rPr>
        <w:t>אבל לפני שאפשר לסנגר, צריך לדעת מי אני. כאן נכנס תהליך גילוי העצמי. אלמוג ועמיתיה (Almog et al., 2026) מתארים מודל של ארבעה שלבים בגילוי העצמי של אנשים אוטיסטים, מתחושת השונות המוקדמת, דרך "מנוע חיפוש" פנימי ששואל בהתחלה "מה שונה בי?" ואחרי החשיפה שואל "מה המשמעות של האבחנה הזאת עבורי?", ועד לשילוב של הזהות. הם מתארים איך הילד, כשהוא מתעמת עם ההורים ומבקש לדעת, הופך "מאובייקט פסיבי של החלטות רפואיות וחינוכיות לסובייקט פעיל בעיצוב הזהות שלו". זה בדיוק המהלך שאנחנו רוצות לאפשר בכיתה. את המתח הזה בין ההורה שמחזיק את הסיפור לבין הילד שצריך לקבל אותו בחזרה ראינו היטב בהרצאת האורח על המסע של אם ובתה אל תוך האבחנה, ובמכתב שבו האם כותבת לבת שהיא רק "שומרת לה על הסיפור בינתיים", עד שתוכל לשאת אותו בעצמה.</w:t>
      </w:r>
    </w:p>
    <w:p>
      <w:pPr>
        <w:bidi/>
        <w:spacing w:after="160" w:before="0" w:line="360" w:lineRule="auto"/>
        <w:jc w:val="both"/>
      </w:pPr>
      <w:r>
        <w:rPr>
          <w:rFonts w:ascii="David" w:hAnsi="David" w:cs="David"/>
          <w:b w:val="0"/>
          <w:sz w:val="24"/>
          <w:szCs w:val="24"/>
          <w:rtl w:val="1"/>
        </w:rPr>
        <w:t>את הכלי הלשוני עצמו לקחנו מקוזמינסקי (2005) ומתוכנית מס"ע שלה. קוזמינסקי בנתה תבנית של "היגד סנגור" בשלושה חלקים: היגד חיובי שמבטא את הרצון והמחויבות, היגד שמתאר את הקושי ומתחיל ב"אבל", והיגד שמציע פתרון ומתחיל ב"אני מציע ש". המסגרת הזאת נשענת על תיאוריית ההכוונה העצמית של דסי וריאן, ועל שלושה צרכים בסיסיים: אוטונומיה, מסוגלות ושייכות. היתרון של התבנית הזאת הוא שהיא לוקחת רצון פנימי מעורפל והופכת אותו לבקשה ממוקדת שאפשר להשמיע למורה.</w:t>
      </w:r>
    </w:p>
    <w:p>
      <w:pPr>
        <w:bidi/>
        <w:spacing w:after="160" w:before="0" w:line="360" w:lineRule="auto"/>
        <w:jc w:val="both"/>
      </w:pPr>
      <w:r>
        <w:rPr>
          <w:rFonts w:ascii="David" w:hAnsi="David" w:cs="David"/>
          <w:b w:val="0"/>
          <w:sz w:val="24"/>
          <w:szCs w:val="24"/>
          <w:rtl w:val="1"/>
        </w:rPr>
        <w:t>ולבסוף, החיבור בין הפרט למערכת. טולוב ושלומאי (2019) מתארים כלים כמו "תמיכה בקבלת החלטות", שבהם אדם אחר מסייע לאדם עם מוגבלות לקבל את ההחלטות שלו "מבלי שיקבל את ההחלטות במקומו". זה בדיוק התפקיד שאנחנו רוצות שהמורה תמלא, מלווה שמאפשר, לא מחליט במקום. ומעליהם עומד העיקרון שחוזר בכל הספרות, "שום דבר עלינו בלעדינו".</w:t>
      </w:r>
    </w:p>
    <w:p>
      <w:pPr>
        <w:pStyle w:val="Heading1"/>
        <w:bidi/>
        <w:spacing w:before="200" w:after="200" w:line="312" w:lineRule="auto"/>
        <w:jc w:val="right"/>
      </w:pPr>
      <w:r>
        <w:rPr>
          <w:rFonts w:ascii="David" w:hAnsi="David" w:cs="David"/>
          <w:b/>
          <w:bCs/>
          <w:color w:val="000000"/>
          <w:sz w:val="34"/>
          <w:szCs w:val="34"/>
          <w:rtl w:val="1"/>
        </w:rPr>
        <w:t>קהל היעד</w:t>
      </w:r>
    </w:p>
    <w:p>
      <w:pPr>
        <w:bidi/>
        <w:spacing w:after="160" w:before="0" w:line="360" w:lineRule="auto"/>
        <w:jc w:val="both"/>
      </w:pPr>
      <w:r>
        <w:rPr>
          <w:rFonts w:ascii="David" w:hAnsi="David" w:cs="David"/>
          <w:b w:val="0"/>
          <w:sz w:val="24"/>
          <w:szCs w:val="24"/>
          <w:rtl w:val="1"/>
        </w:rPr>
        <w:t>היוזמה מיועדת בראש ובראשונה לתלמידות ולתלמידים עם מוגבלות בלתי נראית בכיתות ד' עד ט', הגילאים שבהם מתחילה להתגבש הזהות והתלמיד כבר מסוגל לדבר על עצמו. לצידם, קהל יעד שני הוא המורות, המחנכים והצוות המקצועי, שהם אלה שצריכים ללמוד להיות "מאפשרים" ולא "חוסמים". קהל יעד שלישי, עקיף אך חשוב, הוא ההורים, שעבורם היוזמה היא הזמנה עדינה להתחיל לשחרר, להעביר את הקול לידיים של הילד.</w:t>
      </w:r>
    </w:p>
    <w:p>
      <w:pPr>
        <w:pStyle w:val="Heading1"/>
        <w:bidi/>
        <w:spacing w:before="200" w:after="200" w:line="312" w:lineRule="auto"/>
        <w:jc w:val="right"/>
      </w:pPr>
      <w:r>
        <w:rPr>
          <w:rFonts w:ascii="David" w:hAnsi="David" w:cs="David"/>
          <w:b/>
          <w:bCs/>
          <w:color w:val="000000"/>
          <w:sz w:val="34"/>
          <w:szCs w:val="34"/>
          <w:rtl w:val="1"/>
        </w:rPr>
        <w:t>מטרות היוזמה</w:t>
      </w:r>
    </w:p>
    <w:p>
      <w:pPr>
        <w:bidi/>
        <w:spacing w:after="160" w:before="0" w:line="360" w:lineRule="auto"/>
        <w:jc w:val="both"/>
      </w:pPr>
      <w:r>
        <w:rPr>
          <w:rFonts w:ascii="David" w:hAnsi="David" w:cs="David"/>
          <w:b w:val="0"/>
          <w:sz w:val="24"/>
          <w:szCs w:val="24"/>
          <w:rtl w:val="1"/>
        </w:rPr>
        <w:t>המטרה המרכזית היא להפוך את התלמיד מאובייקט של טיפול לסובייקט שמנהל את חייו. מתוך זה נגזרות כמה מטרות מעשיות. שהתלמיד יכיר את החוזקות שלו, את אופי המוגבלות שלו ואת זכויותיו, שני היסודות של RASE. שידע לבנות היגד סנגור ולהשמיע אותו כדי לבקש התאמה. שיקבל החלטה מושכלת לגבי חשיפה, מתי, למי וכמה, במקום להסתיר מתוך פחד. שהמורה תעבור משיח של ליקוי לשיח של זכויות. ובטווח הארוך, שהתלמיד יישב בעצמו בוועדה שדנה בו, ושיתחבר לקהילת שווים של מסנגרים, כי שם הסנגור העצמי הופך לסנגור קהילתי.</w:t>
      </w:r>
    </w:p>
    <w:p>
      <w:pPr>
        <w:pStyle w:val="Heading1"/>
        <w:bidi/>
        <w:spacing w:before="200" w:after="200" w:line="312" w:lineRule="auto"/>
        <w:jc w:val="right"/>
      </w:pPr>
      <w:r>
        <w:rPr>
          <w:rFonts w:ascii="David" w:hAnsi="David" w:cs="David"/>
          <w:b/>
          <w:bCs/>
          <w:color w:val="000000"/>
          <w:sz w:val="34"/>
          <w:szCs w:val="34"/>
          <w:rtl w:val="1"/>
        </w:rPr>
        <w:t>עקרון "שום דבר עלינו בלעדינו"</w:t>
      </w:r>
    </w:p>
    <w:p>
      <w:pPr>
        <w:bidi/>
        <w:spacing w:after="160" w:before="0" w:line="360" w:lineRule="auto"/>
        <w:jc w:val="both"/>
      </w:pPr>
      <w:r>
        <w:rPr>
          <w:rFonts w:ascii="David" w:hAnsi="David" w:cs="David"/>
          <w:b w:val="0"/>
          <w:sz w:val="24"/>
          <w:szCs w:val="24"/>
          <w:rtl w:val="1"/>
        </w:rPr>
        <w:t>העיקרון הזה הוא לא סיסמה שהדבקנו בסוף, הוא הלב של היוזמה. מעבדת הסנגור לא בנויה עבור התלמידים אלא איתם. התוצר המרכזי הוא ההיגד של התלמיד עצמו, במילים שלו, על הקושי שלו ועל הפתרון שהוא מציע. אנחנו גם רוצות שאנשים עם מוגבלות, בוגרים שהם מסנגרים בעצמם, יהיו שותפים בבניית הסדנה ובהעברתה, ולא רק נושא שמדברים עליו. וברמה המעשית ביותר, היוזמה נותנת לתלמיד כיסא בשולחן שבו מחליטים על חייו, בוועדת השילוב ובבניית תוכנית ההתאמות. כמו שטולוב ושלומאי (2019) מזכירים, העיקרון הזה שינה לא רק את האופן שבו מקבלים החלטות עבור אדם מסוים, אלא את עצם האופן שבו נקבעת מדיניות, ואמנת האו"ם בדבר זכויות אנשים עם מוגבלויות היא הדוגמה הגדולה לתהליך שהובל בידי אנשים עם מוגבלות עצמם.</w:t>
      </w:r>
    </w:p>
    <w:p>
      <w:pPr>
        <w:pStyle w:val="Heading1"/>
        <w:bidi/>
        <w:spacing w:before="200" w:after="200" w:line="312" w:lineRule="auto"/>
        <w:jc w:val="right"/>
      </w:pPr>
      <w:r>
        <w:rPr>
          <w:rFonts w:ascii="David" w:hAnsi="David" w:cs="David"/>
          <w:b/>
          <w:bCs/>
          <w:color w:val="000000"/>
          <w:sz w:val="34"/>
          <w:szCs w:val="34"/>
          <w:rtl w:val="1"/>
        </w:rPr>
        <w:t>הכלי המעשי: דף הפעילות "בונים היגד סנגור"</w:t>
      </w:r>
    </w:p>
    <w:p>
      <w:pPr>
        <w:bidi/>
        <w:spacing w:after="160" w:before="0" w:line="360" w:lineRule="auto"/>
        <w:jc w:val="both"/>
      </w:pPr>
      <w:r>
        <w:rPr>
          <w:rFonts w:ascii="David" w:hAnsi="David" w:cs="David"/>
          <w:b w:val="0"/>
          <w:sz w:val="24"/>
          <w:szCs w:val="24"/>
          <w:rtl w:val="1"/>
        </w:rPr>
        <w:t>לצד המסמך הזה פיתחנו כלי מעשי, דף פעילות נגיש ומעוצב בשם "מעבדת הסנגור: בונים היגד סנגור". הדף מלווה את התלמיד צעד אחר צעד בבניית ההיגד שלו, לפי שלושת החלקים של קוזמינסקי. בחלק הראשון התלמיד כותב מה חשוב לו ובמה הוא רוצה להצליח, מתוך כוח ולא מתוך בעיה. בחלק השני, שמתחיל ב"אבל", הוא מתאר מה בסביבה מקשה עליו, ולא רק את הליקוי עצמו. בחלק השלישי הוא מציע פתרון קטן ויצירתי שיעזור לו. בסוף מחברים את שלושת החלקים למשפט אחד שאפשר להשמיע למורה.</w:t>
      </w:r>
    </w:p>
    <w:p>
      <w:pPr>
        <w:bidi/>
        <w:spacing w:after="160" w:before="0" w:line="360" w:lineRule="auto"/>
        <w:jc w:val="both"/>
      </w:pPr>
      <w:r>
        <w:rPr>
          <w:rFonts w:ascii="David" w:hAnsi="David" w:cs="David"/>
          <w:b w:val="0"/>
          <w:sz w:val="24"/>
          <w:szCs w:val="24"/>
          <w:rtl w:val="1"/>
        </w:rPr>
        <w:t>הדף כולל גם צד למורה, עם שלושה עקרונות להיות "מאפשר": להקשיב לבקשה ברצינות, לשאול שאלות הבהרה במקום לפסול, ולחפש פתרון יחד בתוך דיאלוג של שותפות. עיצבנו את הדף בשפה פשוטה, בפונט גדול וברור ובניגודיות גבוהה, כדי שיהיה נגיש גם לתלמידים עם קשיי קריאה. בכוונה השארנו הרבה מקום לכתיבה, כי הדף לא נועד להיקרא אלא למלא אותו.</w:t>
      </w:r>
    </w:p>
    <w:p>
      <w:pPr>
        <w:bidi/>
        <w:spacing w:after="160" w:before="0" w:line="360" w:lineRule="auto"/>
        <w:jc w:val="both"/>
      </w:pPr>
      <w:r>
        <w:rPr>
          <w:rFonts w:ascii="David" w:hAnsi="David" w:cs="David"/>
          <w:b w:val="0"/>
          <w:sz w:val="24"/>
          <w:szCs w:val="24"/>
          <w:rtl w:val="1"/>
        </w:rPr>
        <w:t>אפשר להרחיב את הכלי גם למעגל הקהילתי. בהשראת רעיון שעלה בקורס, של מסר אישי על מסך אחורי של רכב, "מישהו שבר לי את הלב, אל תצפרו", אפשר לבנות עם הכיתה קמפיין קטן של מסרים אישיים על מוגבלות בלתי נראית, שמבקש הבנה בלי להסביר יותר מדי. כך ההיגד האישי של תלמיד אחד הופך לקול של קבוצה, וזה בדיוק המעבר מהסנגור העצמי לסנגור הקהילתי.</w:t>
      </w:r>
    </w:p>
    <w:p>
      <w:pPr>
        <w:pStyle w:val="Heading1"/>
        <w:bidi/>
        <w:spacing w:before="200" w:after="200" w:line="312" w:lineRule="auto"/>
        <w:jc w:val="right"/>
      </w:pPr>
      <w:r>
        <w:rPr>
          <w:rFonts w:ascii="David" w:hAnsi="David" w:cs="David"/>
          <w:b/>
          <w:bCs/>
          <w:color w:val="000000"/>
          <w:sz w:val="34"/>
          <w:szCs w:val="34"/>
          <w:rtl w:val="1"/>
        </w:rPr>
        <w:t>סיכום</w:t>
      </w:r>
    </w:p>
    <w:p>
      <w:pPr>
        <w:bidi/>
        <w:spacing w:after="160" w:before="0" w:line="360" w:lineRule="auto"/>
        <w:jc w:val="both"/>
      </w:pPr>
      <w:r>
        <w:rPr>
          <w:rFonts w:ascii="David" w:hAnsi="David" w:cs="David"/>
          <w:b w:val="0"/>
          <w:sz w:val="24"/>
          <w:szCs w:val="24"/>
          <w:rtl w:val="1"/>
        </w:rPr>
        <w:t>מעבדת הסנגור היא יוזמה קטנה עם שאיפה גדולה. היא לא מנסה לתקן את התלמיד, כי אין בו מה לתקן. היא מנסה לשנות את השיחה סביבו, מכזו שמדברים בה עליו לכזו שמדברים בה איתו. לקחנו את מה שלמדנו בקורס, את היסודות של RASE, את היגד הסנגור של קוזמינסקי, את תהליך גילוי העצמי ואת המעבר משיח טיפולי לשיח של זכויות, והפכנו אותם לכלי אחד שמורה יכולה להשתמש בו כבר מחר בבוקר. אם תלמיד אחד ייצא מהכיתה ויידע להגיד בקול מה הוא צריך ולמה מגיע לו, עשינו את שלנו.</w:t>
      </w:r>
    </w:p>
    <w:p>
      <w:pPr>
        <w:bidi/>
      </w:pPr>
      <w:r>
        <w:br w:type="page"/>
      </w:r>
    </w:p>
    <w:p>
      <w:pPr>
        <w:pStyle w:val="Heading1"/>
        <w:bidi/>
        <w:spacing w:before="200" w:after="200" w:line="312" w:lineRule="auto"/>
        <w:jc w:val="right"/>
      </w:pPr>
      <w:r>
        <w:rPr>
          <w:rFonts w:ascii="David" w:hAnsi="David" w:cs="David"/>
          <w:b/>
          <w:bCs/>
          <w:color w:val="000000"/>
          <w:sz w:val="34"/>
          <w:szCs w:val="34"/>
          <w:rtl w:val="1"/>
        </w:rPr>
        <w:t>רשימת מקורות</w:t>
      </w:r>
    </w:p>
    <w:p>
      <w:pPr>
        <w:bidi/>
        <w:spacing w:after="160" w:line="360" w:lineRule="auto"/>
        <w:ind w:left="425" w:hanging="425"/>
        <w:jc w:val="both"/>
      </w:pPr>
      <w:r>
        <w:rPr>
          <w:rFonts w:ascii="David" w:hAnsi="David" w:cs="David"/>
          <w:b w:val="0"/>
          <w:sz w:val="24"/>
          <w:szCs w:val="24"/>
          <w:rtl w:val="1"/>
        </w:rPr>
        <w:t>טולוב, י', ושלומאי, א' (2019). "לא בטיפול": מעבר משיח טיפולי לשיח של אוטונומיה וזכויות אדם בהליך מינוי אפוטרופוס לאדם. מחקרי משפט, לב, 1-60.</w:t>
      </w:r>
    </w:p>
    <w:p>
      <w:pPr>
        <w:bidi/>
        <w:spacing w:after="160" w:line="360" w:lineRule="auto"/>
        <w:ind w:left="425" w:hanging="425"/>
        <w:jc w:val="both"/>
      </w:pPr>
      <w:r>
        <w:rPr>
          <w:rFonts w:ascii="David" w:hAnsi="David" w:cs="David"/>
          <w:b w:val="0"/>
          <w:sz w:val="24"/>
          <w:szCs w:val="24"/>
          <w:rtl w:val="1"/>
        </w:rPr>
        <w:t>קוזמינסקי, ל' (2005). תכנית מס"ע: סנגור עצמי של תלמידים עם לקויות למידה. סוגיות בחינוך מיוחד ושיקום, 20(2), 15-24.</w:t>
      </w:r>
    </w:p>
    <w:p>
      <w:pPr>
        <w:spacing w:after="160" w:line="360" w:lineRule="auto"/>
        <w:ind w:left="709" w:hanging="709"/>
        <w:jc w:val="left"/>
      </w:pPr>
      <w:r>
        <w:rPr>
          <w:rFonts w:ascii="Times New Roman" w:hAnsi="Times New Roman"/>
          <w:color w:val="000000"/>
          <w:sz w:val="24"/>
        </w:rPr>
        <w:t>Almog, N., Amar-Sahar, B., Gabai, T., &amp; Keren, E.-H. (2026). Autism self-discovery: Understanding identity and building awareness. In S. Lowinger &amp; S. Pearlman-Avnion (Eds.), Collaborative care and partnerships in autism diagnosis and treatment (pp. 3-26). Springer.</w:t>
      </w:r>
    </w:p>
    <w:p>
      <w:pPr>
        <w:spacing w:after="160" w:line="360" w:lineRule="auto"/>
        <w:ind w:left="709" w:hanging="709"/>
        <w:jc w:val="left"/>
      </w:pPr>
      <w:r>
        <w:rPr>
          <w:rFonts w:ascii="Times New Roman" w:hAnsi="Times New Roman"/>
          <w:color w:val="000000"/>
          <w:sz w:val="24"/>
        </w:rPr>
        <w:t>Kim, S. Y. (2019). The experiences of adults with autism spectrum disorder: Self-determination and quality of life. Research in Autism Spectrum Disorders, 60, 1-15.</w:t>
      </w:r>
    </w:p>
    <w:p>
      <w:pPr>
        <w:spacing w:after="160" w:line="360" w:lineRule="auto"/>
        <w:ind w:left="709" w:hanging="709"/>
        <w:jc w:val="left"/>
      </w:pPr>
      <w:r>
        <w:rPr>
          <w:rFonts w:ascii="Times New Roman" w:hAnsi="Times New Roman"/>
          <w:color w:val="000000"/>
          <w:sz w:val="24"/>
        </w:rPr>
        <w:t>Sasson, N. J., &amp; Morrison, K. E. (2019). First impressions of adults with autism improve with diagnostic disclosure and increased autism knowledge of peers. Autism, 23(1), 50-59.</w:t>
      </w:r>
    </w:p>
    <w:p>
      <w:pPr>
        <w:spacing w:after="160" w:line="360" w:lineRule="auto"/>
        <w:ind w:left="709" w:hanging="709"/>
        <w:jc w:val="left"/>
      </w:pPr>
      <w:r>
        <w:rPr>
          <w:rFonts w:ascii="Times New Roman" w:hAnsi="Times New Roman"/>
          <w:color w:val="000000"/>
          <w:sz w:val="24"/>
        </w:rPr>
        <w:t>Test, D. W., Fowler, C. H., Wood, W. M., Brewer, D. M., &amp; Eddy, S. (2005). A conceptual framework of self-advocacy for students with disabilities. Remedial and Special Education, 26(1), 43-54.</w:t>
      </w:r>
    </w:p>
    <w:sectPr w:rsidR="00FC693F" w:rsidRPr="0006063C" w:rsidSect="00034616">
      <w:footerReference w:type="default" r:id="rId10"/>
      <w:pgSz w:w="12240" w:h="15840"/>
      <w:pgMar w:top="1417" w:right="1417" w:bottom="1417"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avid" w:hAnsi="David"/>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hideGrammaticalErrors/>
  <w:hideSpellingErrors/>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bidi/>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color w:val="000000"/>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