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400"/>
      </w:pPr>
    </w:p>
    <w:p>
      <w:pPr>
        <w:bidi/>
        <w:spacing w:after="200" w:before="0"/>
        <w:jc w:val="center"/>
      </w:pPr>
      <w:r>
        <w:rPr>
          <w:rFonts w:ascii="David" w:cs="David" w:eastAsia="David" w:hAnsi="David"/>
          <w:b/>
          <w:bCs/>
          <w:i w:val="false"/>
          <w:iCs w:val="false"/>
          <w:color w:val="000000"/>
          <w:sz w:val="26"/>
          <w:szCs w:val="26"/>
          <w:rtl/>
        </w:rPr>
        <w:t xml:space="preserve">החוג לפסיכולוגיה</w:t>
      </w:r>
    </w:p>
    <w:p>
      <w:pPr>
        <w:bidi/>
        <w:spacing w:after="700" w:before="0"/>
        <w:jc w:val="center"/>
      </w:pPr>
      <w:r>
        <w:rPr>
          <w:rFonts w:ascii="David" w:cs="David" w:eastAsia="David" w:hAnsi="David"/>
          <w:b w:val="false"/>
          <w:bCs w:val="false"/>
          <w:i w:val="false"/>
          <w:iCs w:val="false"/>
          <w:color w:val="000000"/>
          <w:sz w:val="24"/>
          <w:szCs w:val="24"/>
          <w:rtl/>
        </w:rPr>
        <w:t xml:space="preserve">קורס: פסיכולוגיה ניסויית</w:t>
      </w:r>
    </w:p>
    <w:p>
      <w:pPr>
        <w:pBdr>
          <w:bottom w:val="single" w:color="000000" w:sz="6" w:space="6"/>
        </w:pBdr>
        <w:bidi/>
        <w:spacing w:after="40"/>
        <w:jc w:val="center"/>
      </w:pPr>
      <w:r>
        <w:rPr>
          <w:rFonts w:ascii="David" w:cs="David" w:eastAsia="David" w:hAnsi="David"/>
          <w:b/>
          <w:bCs/>
          <w:i w:val="false"/>
          <w:iCs w:val="false"/>
          <w:color w:val="000000"/>
          <w:sz w:val="40"/>
          <w:szCs w:val="40"/>
          <w:rtl/>
        </w:rPr>
        <w:t xml:space="preserve">חוויית שליטה וחשיפה עקיפה</w:t>
      </w:r>
    </w:p>
    <w:p>
      <w:pPr>
        <w:bidi/>
        <w:spacing w:after="120" w:before="40"/>
        <w:jc w:val="center"/>
      </w:pPr>
      <w:r>
        <w:rPr>
          <w:rFonts w:ascii="David" w:cs="David" w:eastAsia="David" w:hAnsi="David"/>
          <w:b/>
          <w:bCs/>
          <w:i w:val="false"/>
          <w:iCs w:val="false"/>
          <w:color w:val="000000"/>
          <w:sz w:val="40"/>
          <w:szCs w:val="40"/>
          <w:rtl/>
        </w:rPr>
        <w:t xml:space="preserve">והשפעתן על תחושת החוללות העצמית</w:t>
      </w:r>
    </w:p>
    <w:p>
      <w:pPr>
        <w:bidi/>
        <w:spacing w:after="900" w:before="0"/>
        <w:jc w:val="center"/>
      </w:pPr>
      <w:r>
        <w:rPr>
          <w:rFonts w:ascii="David" w:cs="David" w:eastAsia="David" w:hAnsi="David"/>
          <w:b w:val="false"/>
          <w:bCs w:val="false"/>
          <w:i/>
          <w:iCs/>
          <w:color w:val="000000"/>
          <w:sz w:val="28"/>
          <w:szCs w:val="28"/>
          <w:rtl/>
        </w:rPr>
        <w:t xml:space="preserve">מחקר ניסויי</w:t>
      </w:r>
    </w:p>
    <w:p>
      <w:pPr>
        <w:bidi/>
        <w:spacing w:after="120" w:before="0"/>
        <w:jc w:val="center"/>
      </w:pPr>
      <w:r>
        <w:rPr>
          <w:rFonts w:ascii="David" w:cs="David" w:eastAsia="David" w:hAnsi="David"/>
          <w:b w:val="false"/>
          <w:bCs w:val="false"/>
          <w:i w:val="false"/>
          <w:iCs w:val="false"/>
          <w:color w:val="000000"/>
          <w:sz w:val="24"/>
          <w:szCs w:val="24"/>
          <w:rtl/>
        </w:rPr>
        <w:t xml:space="preserve">מגיש/ה: ______________________</w:t>
      </w:r>
    </w:p>
    <w:p>
      <w:pPr>
        <w:bidi/>
        <w:spacing w:after="120" w:before="0"/>
        <w:jc w:val="center"/>
      </w:pPr>
      <w:r>
        <w:rPr>
          <w:rFonts w:ascii="David" w:cs="David" w:eastAsia="David" w:hAnsi="David"/>
          <w:b w:val="false"/>
          <w:bCs w:val="false"/>
          <w:i w:val="false"/>
          <w:iCs w:val="false"/>
          <w:color w:val="000000"/>
          <w:sz w:val="24"/>
          <w:szCs w:val="24"/>
          <w:rtl/>
        </w:rPr>
        <w:t xml:space="preserve">תעודת זהות: ______________________</w:t>
      </w:r>
    </w:p>
    <w:p>
      <w:pPr>
        <w:bidi/>
        <w:spacing w:after="120" w:before="0"/>
        <w:jc w:val="center"/>
      </w:pPr>
      <w:r>
        <w:rPr>
          <w:rFonts w:ascii="David" w:cs="David" w:eastAsia="David" w:hAnsi="David"/>
          <w:b w:val="false"/>
          <w:bCs w:val="false"/>
          <w:i w:val="false"/>
          <w:iCs w:val="false"/>
          <w:color w:val="000000"/>
          <w:sz w:val="24"/>
          <w:szCs w:val="24"/>
          <w:rtl/>
        </w:rPr>
        <w:t xml:space="preserve">בהנחיית: ______________________</w:t>
      </w:r>
    </w:p>
    <w:p>
      <w:pPr>
        <w:bidi/>
        <w:spacing w:after="0" w:before="0"/>
        <w:jc w:val="center"/>
      </w:pPr>
      <w:r>
        <w:rPr>
          <w:rFonts w:ascii="David" w:cs="David" w:eastAsia="David" w:hAnsi="David"/>
          <w:b w:val="false"/>
          <w:bCs w:val="false"/>
          <w:i w:val="false"/>
          <w:iCs w:val="false"/>
          <w:color w:val="000000"/>
          <w:sz w:val="24"/>
          <w:szCs w:val="24"/>
          <w:rtl/>
        </w:rPr>
        <w:t xml:space="preserve">סמסטר ב' תשפ"ו, יוני 2026</w:t>
      </w:r>
    </w:p>
    <w:p>
      <w:r>
        <w:br w:type="page"/>
      </w:r>
    </w:p>
    <w:p>
      <w:pPr>
        <w:bidi/>
        <w:spacing w:after="160"/>
        <w:jc w:val="right"/>
      </w:pPr>
      <w:r>
        <w:rPr>
          <w:rFonts w:ascii="David" w:cs="David" w:eastAsia="David" w:hAnsi="David"/>
          <w:b/>
          <w:bCs/>
          <w:i w:val="false"/>
          <w:iCs w:val="false"/>
          <w:color w:val="000000"/>
          <w:sz w:val="32"/>
          <w:szCs w:val="32"/>
          <w:rtl/>
        </w:rPr>
        <w:t xml:space="preserve">תוכן עניינים</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bidi/>
        <w:spacing w:after="160" w:before="300"/>
        <w:jc w:val="right"/>
      </w:pPr>
      <w:r>
        <w:rPr>
          <w:rFonts w:ascii="David" w:cs="David" w:eastAsia="David" w:hAnsi="David"/>
          <w:b/>
          <w:bCs/>
          <w:i w:val="false"/>
          <w:iCs w:val="false"/>
          <w:color w:val="000000"/>
          <w:sz w:val="32"/>
          <w:szCs w:val="32"/>
          <w:rtl/>
        </w:rPr>
        <w:t xml:space="preserve">תקציר</w:t>
      </w:r>
    </w:p>
    <w:p>
      <w:pPr>
        <w:bidi/>
        <w:spacing w:after="120" w:before="0" w:line="360"/>
        <w:jc w:val="both"/>
      </w:pPr>
      <w:r>
        <w:rPr>
          <w:rFonts w:ascii="David" w:cs="David" w:eastAsia="David" w:hAnsi="David"/>
          <w:b w:val="false"/>
          <w:bCs w:val="false"/>
          <w:i w:val="false"/>
          <w:iCs w:val="false"/>
          <w:color w:val="000000"/>
          <w:sz w:val="24"/>
          <w:szCs w:val="24"/>
          <w:rtl/>
        </w:rPr>
        <w:t xml:space="preserve">המחקר בחן את השפעתם של שני מקורות לחוללות עצמית על-פי תיאוריית בנדורה, חוויית שליטה וחשיפה עקיפה, על תחושת החוללות העצמית הכללית. שלושים ושלושה סטודנטים (N=33) חולקו באקראי לשלושה תנאים: היזכרות בהצלחה אישית, קריאת עדות של עמית שהתמודד והצליח, וקבוצת ביקורת שביצעה משימת כתיבה נייטרלית. מיד לאחר המניפולציה מילאו המשתתפים את שאלון החוללות העצמית הכללית (NGSE). ניתוח שונות חד-כיווני מצא הבדל מובהק בין התנאים, F(2,30)=5.18, p=.012, η²=.26. מבחן Tukey הראה שקבוצת חוויית השליטה (M=4.05) דיווחה על חוללות גבוהה יותר מקבוצת הביקורת (M=3.30), בעוד שקבוצת החשיפה העקיפה (M=3.70) לא נבדלה מהביקורת באופן מובהק. הממצאים תומכים בטענה שחוויות שליטה הן המקור החזק ביותר לחוללות עצמית, ומראים שאף היזכרות קצרה בהצלחה מספיקה כדי להעלות את תחושת המסוגלות לזמן קצר. נדונות מגבלות המחקר והצעות לעתיד.</w:t>
      </w:r>
    </w:p>
    <w:p>
      <w:pPr>
        <w:bidi/>
        <w:spacing w:after="160" w:before="0" w:line="360"/>
        <w:jc w:val="both"/>
      </w:pPr>
      <w:r>
        <w:rPr>
          <w:rFonts w:ascii="David" w:cs="David" w:eastAsia="David" w:hAnsi="David"/>
          <w:b/>
          <w:bCs/>
          <w:i w:val="false"/>
          <w:iCs w:val="false"/>
          <w:color w:val="000000"/>
          <w:sz w:val="24"/>
          <w:szCs w:val="24"/>
          <w:rtl/>
        </w:rPr>
        <w:t xml:space="preserve">מילות מפתח: </w:t>
      </w:r>
      <w:r>
        <w:rPr>
          <w:rFonts w:ascii="David" w:cs="David" w:eastAsia="David" w:hAnsi="David"/>
          <w:b w:val="false"/>
          <w:bCs w:val="false"/>
          <w:i w:val="false"/>
          <w:iCs w:val="false"/>
          <w:color w:val="000000"/>
          <w:sz w:val="24"/>
          <w:szCs w:val="24"/>
          <w:rtl/>
        </w:rPr>
        <w:t xml:space="preserve">חוללות עצמית, חוויית שליטה, למידה עקיפה, תיאוריית בנדורה, מניפולציה ניסויית.</w:t>
      </w:r>
    </w:p>
    <w:p>
      <w:r>
        <w:br w:type="page"/>
      </w:r>
    </w:p>
    <w:p>
      <w:pPr>
        <w:pStyle w:val="Heading1"/>
        <w:bidi/>
        <w:spacing w:after="160" w:before="300"/>
        <w:jc w:val="right"/>
      </w:pPr>
      <w:r>
        <w:rPr>
          <w:rFonts w:ascii="David" w:cs="David" w:eastAsia="David" w:hAnsi="David"/>
          <w:b/>
          <w:bCs/>
          <w:i w:val="false"/>
          <w:iCs w:val="false"/>
          <w:color w:val="000000"/>
          <w:sz w:val="32"/>
          <w:szCs w:val="32"/>
          <w:rtl/>
        </w:rPr>
        <w:t xml:space="preserve">מבוא ורקע תיאורטי</w:t>
      </w:r>
    </w:p>
    <w:p>
      <w:pPr>
        <w:bidi/>
        <w:spacing w:after="160" w:before="0" w:line="360"/>
        <w:jc w:val="both"/>
      </w:pPr>
      <w:r>
        <w:rPr>
          <w:rFonts w:ascii="David" w:cs="David" w:eastAsia="David" w:hAnsi="David"/>
          <w:b w:val="false"/>
          <w:bCs w:val="false"/>
          <w:i w:val="false"/>
          <w:iCs w:val="false"/>
          <w:color w:val="000000"/>
          <w:sz w:val="24"/>
          <w:szCs w:val="24"/>
          <w:rtl/>
        </w:rPr>
        <w:t xml:space="preserve">תחושת החוללות העצמית היא אחד המושגים המשפיעים בפסיכולוגיה של המוטיבציה. בנדורה (Bandura, 1977) הגדיר אותה כאמונת האדם ביכולתו לארגן ולבצע את הפעולות הנדרשות כדי להשיג תוצאה רצויה. זו אינה הערכה של הכישורים עצמם, אלא של הביטחון להשתמש בהם בפועל. אנשים בעלי חוללות עצמית גבוהה נוטים להציב מטרות מאתגרות יותר, להשקיע יותר מאמץ, ולהתמיד גם כשהם נתקלים בקשיים.</w:t>
      </w:r>
    </w:p>
    <w:p>
      <w:pPr>
        <w:bidi/>
        <w:spacing w:after="160" w:before="0" w:line="360"/>
        <w:jc w:val="both"/>
      </w:pPr>
      <w:r>
        <w:rPr>
          <w:rFonts w:ascii="David" w:cs="David" w:eastAsia="David" w:hAnsi="David"/>
          <w:b w:val="false"/>
          <w:bCs w:val="false"/>
          <w:i w:val="false"/>
          <w:iCs w:val="false"/>
          <w:color w:val="000000"/>
          <w:sz w:val="24"/>
          <w:szCs w:val="24"/>
          <w:rtl/>
        </w:rPr>
        <w:t xml:space="preserve">בנדורה (Bandura, 1997) הצביע על ארבעה מקורות שמהם נבנית תחושת החוללות. הראשון הוא חוויות שליטה, כלומר הצלחות ישירות בביצוע משימות. השני הוא חוויות עקיפות, למידה מתוך התבוננות באחרים שמצליחים, בייחוד כשהם דומים לנו. השלישי הוא שכנוע מילולי, עידוד ומשוב מהסביבה. הרביעי הוא מצבים גופניים ורגשיים והפרשנות שאנו נותנים להם. בנדורה טען שחוויות השליטה הן המקור החזק ביותר, מפני שהן העדות הישירה והמשכנעת ביותר ליכולת.</w:t>
      </w:r>
    </w:p>
    <w:p>
      <w:pPr>
        <w:bidi/>
        <w:spacing w:after="160" w:before="0" w:line="360"/>
        <w:jc w:val="both"/>
      </w:pPr>
      <w:r>
        <w:rPr>
          <w:rFonts w:ascii="David" w:cs="David" w:eastAsia="David" w:hAnsi="David"/>
          <w:b w:val="false"/>
          <w:bCs w:val="false"/>
          <w:i w:val="false"/>
          <w:iCs w:val="false"/>
          <w:color w:val="000000"/>
          <w:sz w:val="24"/>
          <w:szCs w:val="24"/>
          <w:rtl/>
        </w:rPr>
        <w:t xml:space="preserve">בעוד שבנדורה עסק בעיקר בחוללות ספציפית למשימה, התפתח בהמשך המושג של חוללות עצמית כללית, אמונה יציבה יחסית ביכולת להתמודד עם מגוון רחב של מצבים. צ'ן, גאלי ואדן (Chen, Gully, &amp; Eden, 2001) פיתחו את שאלון החוללות העצמית הכללית (NGSE), כלי קצר בעל תכונות פסיכומטריות טובות שנמצא עדיף על כלים קודמים. לושצ'ינסקה, שולץ ושוורצר (Luszczynska, Scholz, &amp; Schwarzer, 2005) הראו במחקרים חוצי-תרבות שחוללות עצמית כללית קשורה באופן עקבי לרווחה נפשית, לאופטימיות ולהתמודדות אדפטיבית.</w:t>
      </w:r>
    </w:p>
    <w:p>
      <w:pPr>
        <w:bidi/>
        <w:spacing w:after="160" w:before="0" w:line="360"/>
        <w:jc w:val="both"/>
      </w:pPr>
      <w:r>
        <w:rPr>
          <w:rFonts w:ascii="David" w:cs="David" w:eastAsia="David" w:hAnsi="David"/>
          <w:b w:val="false"/>
          <w:bCs w:val="false"/>
          <w:i w:val="false"/>
          <w:iCs w:val="false"/>
          <w:color w:val="000000"/>
          <w:sz w:val="24"/>
          <w:szCs w:val="24"/>
          <w:rtl/>
        </w:rPr>
        <w:t xml:space="preserve">לחוללות העצמית יש השלכות מעשיות, בייחוד בהקשר הלימודי. שאנק (Schunk, 2001), בסקירה שתורגמה לעברית, מראה כי תחושת המסוגלות משפיעה על עירור ההתנהגות, על המאמץ ועל ההתמדה, ותורמת לניבוי תוצאות של מוטיבציה לימודית. במחקר עדכני על יותר מ-2,300 תלמידים מצאו בסילאו ועמיתיה (Basileo et al., 2024) שחוללות עצמית היא המנבא החזק ביותר של הישגים לימודיים, חזק אף מהמוטיבציה עצמה. אבדולרזפור ועמיתיה (Abdolrezapour et al., 2023) הוסיפו והראו שחוללות עצמית וחוסן מנבאים יחד את המוטיבציה הלימודית בלמידה מקוונת. גם בישראל נחקרה תחושת המסוגלות בהקשרים חינוכיים שונים. לב וריץ' (1999) עסקו במסוגלות של מורים, במדידתה ובדרכים לחזקה, וגרינבנק ואגם בן-ארצי (2018) בחנו את תחושת המסוגלות העצמית של סייעות פדגוגיות העובדות עם תלמידים בעלי צרכים מיוחדים. מכאן החשיבות של הבנת הדרכים לחזק, ולו לזמן קצר, את תחושת המסוגלות.</w:t>
      </w:r>
    </w:p>
    <w:p>
      <w:pPr>
        <w:bidi/>
        <w:spacing w:after="160" w:before="0" w:line="360"/>
        <w:jc w:val="both"/>
      </w:pPr>
      <w:r>
        <w:rPr>
          <w:rFonts w:ascii="David" w:cs="David" w:eastAsia="David" w:hAnsi="David"/>
          <w:b w:val="false"/>
          <w:bCs w:val="false"/>
          <w:i w:val="false"/>
          <w:iCs w:val="false"/>
          <w:color w:val="000000"/>
          <w:sz w:val="24"/>
          <w:szCs w:val="24"/>
          <w:rtl/>
        </w:rPr>
        <w:t xml:space="preserve">המחקר הנוכחי בוחן בתנאי מעבדה מבוקרים את השפעתם של שני מקורות החוללות המרכזיים, חוויית שליטה וחשיפה עקיפה, על תחושת החוללות העצמית הכללית, בהשוואה לתנאי ביקורת נייטרלי. מחקרים ניסוייים קצרים שמשווים ישירות בין שני המקורות האלה מעטים יחסית. השאלה היא האם אינדוקציה קצרה, היזכרות בהצלחה אישית או קריאת עדות של עמית שהצליח, מספיקה כדי להעלות את תחושת החוללות, ואיזה מבין שני המקורות אפקטיבי יותר.</w:t>
      </w:r>
    </w:p>
    <w:p>
      <w:pPr>
        <w:pStyle w:val="Heading2"/>
        <w:bidi/>
        <w:spacing w:after="120" w:before="220"/>
        <w:jc w:val="right"/>
      </w:pPr>
      <w:r>
        <w:rPr>
          <w:rFonts w:ascii="David" w:cs="David" w:eastAsia="David" w:hAnsi="David"/>
          <w:b/>
          <w:bCs/>
          <w:i w:val="false"/>
          <w:iCs w:val="false"/>
          <w:color w:val="000000"/>
          <w:sz w:val="27"/>
          <w:szCs w:val="27"/>
          <w:rtl/>
        </w:rPr>
        <w:t xml:space="preserve">השערות המחקר</w:t>
      </w:r>
    </w:p>
    <w:p>
      <w:pPr>
        <w:bidi/>
        <w:spacing w:after="160" w:before="0" w:line="360"/>
        <w:jc w:val="both"/>
      </w:pPr>
      <w:r>
        <w:rPr>
          <w:rFonts w:ascii="David" w:cs="David" w:eastAsia="David" w:hAnsi="David"/>
          <w:b/>
          <w:bCs/>
          <w:i w:val="false"/>
          <w:iCs w:val="false"/>
          <w:color w:val="000000"/>
          <w:sz w:val="24"/>
          <w:szCs w:val="24"/>
          <w:rtl/>
        </w:rPr>
        <w:t xml:space="preserve">השערה 1: </w:t>
      </w:r>
      <w:r>
        <w:rPr>
          <w:rFonts w:ascii="David" w:cs="David" w:eastAsia="David" w:hAnsi="David"/>
          <w:b w:val="false"/>
          <w:bCs w:val="false"/>
          <w:i w:val="false"/>
          <w:iCs w:val="false"/>
          <w:color w:val="000000"/>
          <w:sz w:val="24"/>
          <w:szCs w:val="24"/>
          <w:rtl/>
        </w:rPr>
        <w:t xml:space="preserve">משתתפים בתנאי חוויית השליטה (היזכרות בהצלחה אישית) ידווחו על חוללות עצמית גבוהה יותר מאשר משתתפים בקבוצת הביקורת.</w:t>
      </w:r>
    </w:p>
    <w:p>
      <w:pPr>
        <w:bidi/>
        <w:spacing w:after="160" w:before="0" w:line="360"/>
        <w:jc w:val="both"/>
      </w:pPr>
      <w:r>
        <w:rPr>
          <w:rFonts w:ascii="David" w:cs="David" w:eastAsia="David" w:hAnsi="David"/>
          <w:b/>
          <w:bCs/>
          <w:i w:val="false"/>
          <w:iCs w:val="false"/>
          <w:color w:val="000000"/>
          <w:sz w:val="24"/>
          <w:szCs w:val="24"/>
          <w:rtl/>
        </w:rPr>
        <w:t xml:space="preserve">השערה 2: </w:t>
      </w:r>
      <w:r>
        <w:rPr>
          <w:rFonts w:ascii="David" w:cs="David" w:eastAsia="David" w:hAnsi="David"/>
          <w:b w:val="false"/>
          <w:bCs w:val="false"/>
          <w:i w:val="false"/>
          <w:iCs w:val="false"/>
          <w:color w:val="000000"/>
          <w:sz w:val="24"/>
          <w:szCs w:val="24"/>
          <w:rtl/>
        </w:rPr>
        <w:t xml:space="preserve">משתתפים בתנאי החשיפה העקיפה (קריאת עדות של עמית מצליח) ידווחו על חוללות עצמית גבוהה יותר מאשר משתתפים בקבוצת הביקורת.</w:t>
      </w:r>
    </w:p>
    <w:p>
      <w:pPr>
        <w:bidi/>
        <w:spacing w:after="160" w:before="0" w:line="360"/>
        <w:jc w:val="both"/>
      </w:pPr>
      <w:r>
        <w:rPr>
          <w:rFonts w:ascii="David" w:cs="David" w:eastAsia="David" w:hAnsi="David"/>
          <w:b/>
          <w:bCs/>
          <w:i w:val="false"/>
          <w:iCs w:val="false"/>
          <w:color w:val="000000"/>
          <w:sz w:val="24"/>
          <w:szCs w:val="24"/>
          <w:rtl/>
        </w:rPr>
        <w:t xml:space="preserve">השערה 3: </w:t>
      </w:r>
      <w:r>
        <w:rPr>
          <w:rFonts w:ascii="David" w:cs="David" w:eastAsia="David" w:hAnsi="David"/>
          <w:b w:val="false"/>
          <w:bCs w:val="false"/>
          <w:i w:val="false"/>
          <w:iCs w:val="false"/>
          <w:color w:val="000000"/>
          <w:sz w:val="24"/>
          <w:szCs w:val="24"/>
          <w:rtl/>
        </w:rPr>
        <w:t xml:space="preserve">בהתאם לטענת בנדורה שחוויות שליטה הן המקור החזק ביותר, החוללות בתנאי חוויית השליטה תהיה גבוהה יותר מזו שבתנאי החשיפה העקיפה.</w:t>
      </w:r>
    </w:p>
    <w:p>
      <w:r>
        <w:br w:type="page"/>
      </w:r>
    </w:p>
    <w:p>
      <w:pPr>
        <w:pStyle w:val="Heading1"/>
        <w:bidi/>
        <w:spacing w:after="160" w:before="300"/>
        <w:jc w:val="right"/>
      </w:pPr>
      <w:r>
        <w:rPr>
          <w:rFonts w:ascii="David" w:cs="David" w:eastAsia="David" w:hAnsi="David"/>
          <w:b/>
          <w:bCs/>
          <w:i w:val="false"/>
          <w:iCs w:val="false"/>
          <w:color w:val="000000"/>
          <w:sz w:val="32"/>
          <w:szCs w:val="32"/>
          <w:rtl/>
        </w:rPr>
        <w:t xml:space="preserve">שיטה</w:t>
      </w:r>
    </w:p>
    <w:p>
      <w:pPr>
        <w:pStyle w:val="Heading2"/>
        <w:bidi/>
        <w:spacing w:after="120" w:before="220"/>
        <w:jc w:val="right"/>
      </w:pPr>
      <w:r>
        <w:rPr>
          <w:rFonts w:ascii="David" w:cs="David" w:eastAsia="David" w:hAnsi="David"/>
          <w:b/>
          <w:bCs/>
          <w:i w:val="false"/>
          <w:iCs w:val="false"/>
          <w:color w:val="000000"/>
          <w:sz w:val="27"/>
          <w:szCs w:val="27"/>
          <w:rtl/>
        </w:rPr>
        <w:t xml:space="preserve">משתתפים</w:t>
      </w:r>
    </w:p>
    <w:p>
      <w:pPr>
        <w:bidi/>
        <w:spacing w:after="160" w:before="0" w:line="360"/>
        <w:jc w:val="both"/>
      </w:pPr>
      <w:r>
        <w:rPr>
          <w:rFonts w:ascii="David" w:cs="David" w:eastAsia="David" w:hAnsi="David"/>
          <w:b w:val="false"/>
          <w:bCs w:val="false"/>
          <w:i w:val="false"/>
          <w:iCs w:val="false"/>
          <w:color w:val="000000"/>
          <w:sz w:val="24"/>
          <w:szCs w:val="24"/>
          <w:rtl/>
        </w:rPr>
        <w:t xml:space="preserve">במחקר השתתפו 33 סטודנטים, 21 נשים ו-12 גברים, בני 18 עד 31 (M=24.3, SD=2.8). הגיוס נעשה במדגם נוחות, דרך פנייה אישית וברשתות חברתיות. ההשתתפות הייתה מרצון ואנונימית, וכל המשתתפים היו מעל גיל 18. כל משתתף שובץ באקראי לאחד משלושת התנאים, כך שבכל תנאי היו 11 משתתפים. חשוב לציין שמדובר במדגם נוחות של סטודנטים, ולכן ההכללה לאוכלוסייה הרחבה מוגבלת. נרחיב על כך בדיון.</w:t>
      </w:r>
    </w:p>
    <w:p>
      <w:pPr>
        <w:pStyle w:val="Heading2"/>
        <w:bidi/>
        <w:spacing w:after="120" w:before="220"/>
        <w:jc w:val="right"/>
      </w:pPr>
      <w:r>
        <w:rPr>
          <w:rFonts w:ascii="David" w:cs="David" w:eastAsia="David" w:hAnsi="David"/>
          <w:b/>
          <w:bCs/>
          <w:i w:val="false"/>
          <w:iCs w:val="false"/>
          <w:color w:val="000000"/>
          <w:sz w:val="27"/>
          <w:szCs w:val="27"/>
          <w:rtl/>
        </w:rPr>
        <w:t xml:space="preserve">כלים</w:t>
      </w:r>
    </w:p>
    <w:p>
      <w:pPr>
        <w:bidi/>
        <w:spacing w:after="160" w:before="0" w:line="360"/>
        <w:jc w:val="both"/>
      </w:pPr>
      <w:r>
        <w:rPr>
          <w:rFonts w:ascii="David" w:cs="David" w:eastAsia="David" w:hAnsi="David"/>
          <w:b/>
          <w:bCs/>
          <w:i w:val="false"/>
          <w:iCs w:val="false"/>
          <w:color w:val="000000"/>
          <w:sz w:val="24"/>
          <w:szCs w:val="24"/>
          <w:rtl/>
        </w:rPr>
        <w:t xml:space="preserve">שאלון החוללות העצמית הכללית (NGSE). </w:t>
      </w:r>
      <w:r>
        <w:rPr>
          <w:rFonts w:ascii="David" w:cs="David" w:eastAsia="David" w:hAnsi="David"/>
          <w:b w:val="false"/>
          <w:bCs w:val="false"/>
          <w:i w:val="false"/>
          <w:iCs w:val="false"/>
          <w:color w:val="000000"/>
          <w:sz w:val="24"/>
          <w:szCs w:val="24"/>
          <w:rtl/>
        </w:rPr>
        <w:t xml:space="preserve">תחושת החוללות נמדדה בשאלון ה-NGSE של צ'ן, גאלי ואדן (Chen et al., 2001). השאלון כולל שמונה היגדים (למשל: "אני יכול להשיג את מרבית המטרות שהצבתי לעצמי"), המדורגים בסולם ליקרט בן חמש דרגות (1 = מתנגד מאוד, 5 = מסכים מאוד). ציון החוללות חושב כממוצע שמונת הפריטים, כשציון גבוה יותר מבטא חוללות עצמית גבוהה יותר. במחקר הנוכחי נמצאה מהימנות פנימית גבוהה, α קרונבך = .87. השאלון המלא מופיע בנספח א.</w:t>
      </w:r>
    </w:p>
    <w:p>
      <w:pPr>
        <w:bidi/>
        <w:spacing w:after="160" w:before="0" w:line="360"/>
        <w:jc w:val="both"/>
      </w:pPr>
      <w:r>
        <w:rPr>
          <w:rFonts w:ascii="David" w:cs="David" w:eastAsia="David" w:hAnsi="David"/>
          <w:b/>
          <w:bCs/>
          <w:i w:val="false"/>
          <w:iCs w:val="false"/>
          <w:color w:val="000000"/>
          <w:sz w:val="24"/>
          <w:szCs w:val="24"/>
          <w:rtl/>
        </w:rPr>
        <w:t xml:space="preserve">חומרי המניפולציה. </w:t>
      </w:r>
      <w:r>
        <w:rPr>
          <w:rFonts w:ascii="David" w:cs="David" w:eastAsia="David" w:hAnsi="David"/>
          <w:b w:val="false"/>
          <w:bCs w:val="false"/>
          <w:i w:val="false"/>
          <w:iCs w:val="false"/>
          <w:color w:val="000000"/>
          <w:sz w:val="24"/>
          <w:szCs w:val="24"/>
          <w:rtl/>
        </w:rPr>
        <w:t xml:space="preserve">המשתנה הבלתי-תלוי, סוג המקור לחוללות, תופעל בעזרת משימה קצרה בשלוש רמות. בתנאי חוויית השליטה התבקשו המשתתפים להיזכר ולתאר בכתב אירוע מן העבר שבו התמודדו עם משימה מאתגרת והצליחו בה בזכות מאמץ. בתנאי החשיפה העקיפה קראו עדות קצרה בגוף ראשון של סטודנט "עמית" שתיאר התמודדות מוצלחת עם אתגר לימודי, והתבקשו להרהר בה. בתנאי הביקורת התבקשו לתאר את מסלול ההגעה היומי שלהם אל מקום הלימודים, משימה נייטרלית שאינה קשורה למסוגלות. הנוסח המלא מופיע בנספח ב.</w:t>
      </w:r>
    </w:p>
    <w:p>
      <w:pPr>
        <w:bidi/>
        <w:spacing w:after="160" w:before="0" w:line="360"/>
        <w:jc w:val="both"/>
      </w:pPr>
      <w:r>
        <w:rPr>
          <w:rFonts w:ascii="David" w:cs="David" w:eastAsia="David" w:hAnsi="David"/>
          <w:b/>
          <w:bCs/>
          <w:i w:val="false"/>
          <w:iCs w:val="false"/>
          <w:color w:val="000000"/>
          <w:sz w:val="24"/>
          <w:szCs w:val="24"/>
          <w:rtl/>
        </w:rPr>
        <w:t xml:space="preserve">שאלון פרטים דמוגרפיים. </w:t>
      </w:r>
      <w:r>
        <w:rPr>
          <w:rFonts w:ascii="David" w:cs="David" w:eastAsia="David" w:hAnsi="David"/>
          <w:b w:val="false"/>
          <w:bCs w:val="false"/>
          <w:i w:val="false"/>
          <w:iCs w:val="false"/>
          <w:color w:val="000000"/>
          <w:sz w:val="24"/>
          <w:szCs w:val="24"/>
          <w:rtl/>
        </w:rPr>
        <w:t xml:space="preserve">בסיום נאספו פרטי גיל ומגדר, לתיאור המדגם בלבד.</w:t>
      </w:r>
    </w:p>
    <w:p>
      <w:pPr>
        <w:pStyle w:val="Heading2"/>
        <w:bidi/>
        <w:spacing w:after="120" w:before="220"/>
        <w:jc w:val="right"/>
      </w:pPr>
      <w:r>
        <w:rPr>
          <w:rFonts w:ascii="David" w:cs="David" w:eastAsia="David" w:hAnsi="David"/>
          <w:b/>
          <w:bCs/>
          <w:i w:val="false"/>
          <w:iCs w:val="false"/>
          <w:color w:val="000000"/>
          <w:sz w:val="27"/>
          <w:szCs w:val="27"/>
          <w:rtl/>
        </w:rPr>
        <w:t xml:space="preserve">הליך</w:t>
      </w:r>
    </w:p>
    <w:p>
      <w:pPr>
        <w:bidi/>
        <w:spacing w:after="160" w:before="0" w:line="360"/>
        <w:jc w:val="both"/>
      </w:pPr>
      <w:r>
        <w:rPr>
          <w:rFonts w:ascii="David" w:cs="David" w:eastAsia="David" w:hAnsi="David"/>
          <w:b w:val="false"/>
          <w:bCs w:val="false"/>
          <w:i w:val="false"/>
          <w:iCs w:val="false"/>
          <w:color w:val="000000"/>
          <w:sz w:val="24"/>
          <w:szCs w:val="24"/>
          <w:rtl/>
        </w:rPr>
        <w:t xml:space="preserve">המחקר הועבר אונליין דרך מערכת Qualtrics. בכניסה קיבלו המשתתפים דף הסבר והסכמה מדעת, שהבהיר שההשתתפות אנונימית ושאפשר להפסיק בכל רגע. לאחר מכן שובצו באקראי לאחד התנאים, ביצעו את משימת המניפולציה המתאימה, ומיד אחריה מילאו את שאלון ה-NGSE ואת הפרטים הדמוגרפיים. בסוף הוצג דף תודה ותדרוך קצר על מטרת המחקר. משך ההשתתפות נע בין שבע לעשר דקות.</w:t>
      </w:r>
    </w:p>
    <w:p>
      <w:r>
        <w:br w:type="page"/>
      </w:r>
    </w:p>
    <w:p>
      <w:pPr>
        <w:pStyle w:val="Heading1"/>
        <w:bidi/>
        <w:spacing w:after="160" w:before="300"/>
        <w:jc w:val="right"/>
      </w:pPr>
      <w:r>
        <w:rPr>
          <w:rFonts w:ascii="David" w:cs="David" w:eastAsia="David" w:hAnsi="David"/>
          <w:b/>
          <w:bCs/>
          <w:i w:val="false"/>
          <w:iCs w:val="false"/>
          <w:color w:val="000000"/>
          <w:sz w:val="32"/>
          <w:szCs w:val="32"/>
          <w:rtl/>
        </w:rPr>
        <w:t xml:space="preserve">תוצאות</w:t>
      </w:r>
    </w:p>
    <w:p>
      <w:pPr>
        <w:bidi/>
        <w:spacing w:after="160" w:before="0" w:line="360"/>
        <w:jc w:val="both"/>
      </w:pPr>
      <w:r>
        <w:rPr>
          <w:rFonts w:ascii="David" w:cs="David" w:eastAsia="David" w:hAnsi="David"/>
          <w:b w:val="false"/>
          <w:bCs w:val="false"/>
          <w:i w:val="false"/>
          <w:iCs w:val="false"/>
          <w:color w:val="000000"/>
          <w:sz w:val="24"/>
          <w:szCs w:val="24"/>
          <w:rtl/>
        </w:rPr>
        <w:t xml:space="preserve">הנתונים נותחו בתוכנת SPSS. תחילה חושבו סטטיסטיקות תיאוריות של ציוני החוללות בכל תנאי. ממוצע החוללות היה הנמוך ביותר בקבוצת הביקורת (M=3.30, SD=0.55), גבוה יותר בקבוצת החשיפה העקיפה (M=3.70, SD=0.52), והגבוה ביותר בקבוצת חוויית השליטה (M=4.05, SD=0.57).</w:t>
      </w:r>
    </w:p>
    <w:p>
      <w:pPr>
        <w:spacing w:after="40" w:before="160"/>
        <w:jc w:val="left"/>
      </w:pPr>
      <w:r>
        <w:rPr>
          <w:rFonts w:ascii="Arial" w:cs="Arial" w:eastAsia="Arial" w:hAnsi="Arial"/>
          <w:b/>
          <w:bCs/>
          <w:i w:val="false"/>
          <w:iCs w:val="false"/>
          <w:sz w:val="19"/>
          <w:szCs w:val="19"/>
        </w:rPr>
        <w:t xml:space="preserve">Descriptives</w:t>
      </w:r>
    </w:p>
    <w:p>
      <w:pPr>
        <w:spacing w:after="140" w:before="30"/>
        <w:jc w:val="left"/>
      </w:pPr>
      <w:r>
        <w:rPr>
          <w:rFonts w:ascii="Arial" w:cs="Arial" w:eastAsia="Arial" w:hAnsi="Arial"/>
          <w:b w:val="false"/>
          <w:bCs w:val="false"/>
          <w:i w:val="false"/>
          <w:iCs w:val="false"/>
          <w:sz w:val="15"/>
          <w:szCs w:val="15"/>
        </w:rPr>
        <w:t xml:space="preserve">General Self-Efficacy score</w:t>
      </w:r>
    </w:p>
    <w:tbl>
      <w:tblPr>
        <w:tblW w:type="dxa" w:w="87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900"/>
        <w:gridCol w:w="1500"/>
        <w:gridCol w:w="2100"/>
        <w:gridCol w:w="1700"/>
      </w:tblGrid>
      <w:tr>
        <w:trPr>
          <w:tblHeader/>
        </w:trPr>
        <w:tc>
          <w:tcPr>
            <w:tcW w:type="dxa" w:w="2500"/>
            <w:tcMar>
              <w:top w:type="dxa" w:w="40"/>
              <w:left w:type="dxa" w:w="70"/>
              <w:bottom w:type="dxa" w:w="40"/>
              <w:right w:type="dxa" w:w="70"/>
            </w:tcMar>
          </w:tcPr>
          <w:p>
            <w:pPr>
              <w:spacing w:after="0" w:line="240"/>
              <w:jc w:val="left"/>
            </w:pPr>
            <w:r>
              <w:rPr>
                <w:rFonts w:ascii="Arial" w:cs="Arial" w:eastAsia="Arial" w:hAnsi="Arial"/>
                <w:b/>
                <w:bCs/>
                <w:i w:val="false"/>
                <w:iCs w:val="false"/>
                <w:sz w:val="18"/>
                <w:szCs w:val="18"/>
              </w:rPr>
              <w:t xml:space="preserve"/>
            </w:r>
          </w:p>
        </w:tc>
        <w:tc>
          <w:tcPr>
            <w:tcW w:type="dxa" w:w="9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N</w:t>
            </w:r>
          </w:p>
        </w:tc>
        <w:tc>
          <w:tcPr>
            <w:tcW w:type="dxa" w:w="15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Mean</w:t>
            </w:r>
          </w:p>
        </w:tc>
        <w:tc>
          <w:tcPr>
            <w:tcW w:type="dxa" w:w="21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Std. Deviation</w:t>
            </w:r>
          </w:p>
        </w:tc>
        <w:tc>
          <w:tcPr>
            <w:tcW w:type="dxa" w:w="17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Std. Error</w:t>
            </w:r>
          </w:p>
        </w:tc>
      </w:tr>
      <w:tr>
        <w:tc>
          <w:tcPr>
            <w:tcW w:type="dxa" w:w="250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Control</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11</w:t>
            </w:r>
          </w:p>
        </w:tc>
        <w:tc>
          <w:tcPr>
            <w:tcW w:type="dxa" w:w="15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3.30</w:t>
            </w:r>
          </w:p>
        </w:tc>
        <w:tc>
          <w:tcPr>
            <w:tcW w:type="dxa" w:w="2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.55</w:t>
            </w:r>
          </w:p>
        </w:tc>
        <w:tc>
          <w:tcPr>
            <w:tcW w:type="dxa" w:w="17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.166</w:t>
            </w:r>
          </w:p>
        </w:tc>
      </w:tr>
      <w:tr>
        <w:tc>
          <w:tcPr>
            <w:tcW w:type="dxa" w:w="250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Vicarious</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11</w:t>
            </w:r>
          </w:p>
        </w:tc>
        <w:tc>
          <w:tcPr>
            <w:tcW w:type="dxa" w:w="15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3.70</w:t>
            </w:r>
          </w:p>
        </w:tc>
        <w:tc>
          <w:tcPr>
            <w:tcW w:type="dxa" w:w="2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.52</w:t>
            </w:r>
          </w:p>
        </w:tc>
        <w:tc>
          <w:tcPr>
            <w:tcW w:type="dxa" w:w="17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.157</w:t>
            </w:r>
          </w:p>
        </w:tc>
      </w:tr>
      <w:tr>
        <w:tc>
          <w:tcPr>
            <w:tcW w:type="dxa" w:w="250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Mastery</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11</w:t>
            </w:r>
          </w:p>
        </w:tc>
        <w:tc>
          <w:tcPr>
            <w:tcW w:type="dxa" w:w="15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4.05</w:t>
            </w:r>
          </w:p>
        </w:tc>
        <w:tc>
          <w:tcPr>
            <w:tcW w:type="dxa" w:w="2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.57</w:t>
            </w:r>
          </w:p>
        </w:tc>
        <w:tc>
          <w:tcPr>
            <w:tcW w:type="dxa" w:w="17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.172</w:t>
            </w:r>
          </w:p>
        </w:tc>
      </w:tr>
      <w:tr>
        <w:tc>
          <w:tcPr>
            <w:tcW w:type="dxa" w:w="250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Total</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33</w:t>
            </w:r>
          </w:p>
        </w:tc>
        <w:tc>
          <w:tcPr>
            <w:tcW w:type="dxa" w:w="15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3.68</w:t>
            </w:r>
          </w:p>
        </w:tc>
        <w:tc>
          <w:tcPr>
            <w:tcW w:type="dxa" w:w="2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.61</w:t>
            </w:r>
          </w:p>
        </w:tc>
        <w:tc>
          <w:tcPr>
            <w:tcW w:type="dxa" w:w="17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.107</w:t>
            </w:r>
          </w:p>
        </w:tc>
      </w:tr>
    </w:tbl>
    <w:p>
      <w:pPr>
        <w:bidi/>
        <w:spacing w:after="160" w:before="80" w:line="360"/>
        <w:jc w:val="both"/>
      </w:pPr>
      <w:r>
        <w:rPr>
          <w:rFonts w:ascii="David" w:cs="David" w:eastAsia="David" w:hAnsi="David"/>
          <w:b w:val="false"/>
          <w:bCs w:val="false"/>
          <w:i w:val="false"/>
          <w:iCs w:val="false"/>
          <w:color w:val="000000"/>
          <w:sz w:val="24"/>
          <w:szCs w:val="24"/>
          <w:rtl/>
        </w:rPr>
        <w:t xml:space="preserve">הנחת שוויון השונויות נבדקה במבחן Levene ולא הופרה, F(2,30)=0.34, p=.71. ניתוח שונות חד-כיווני, עם התנאי הניסויי כגורם בין-נבדקי, העלה אפקט מובהק, F(2,30)=5.18, p=.012. גודל האפקט, שחושב כאטא בריבוע, היה η²=.26, כלומר גודל אפקט גדול.</w:t>
      </w:r>
    </w:p>
    <w:p>
      <w:pPr>
        <w:spacing w:after="40" w:before="160"/>
        <w:jc w:val="left"/>
      </w:pPr>
      <w:r>
        <w:rPr>
          <w:rFonts w:ascii="Arial" w:cs="Arial" w:eastAsia="Arial" w:hAnsi="Arial"/>
          <w:b/>
          <w:bCs/>
          <w:i w:val="false"/>
          <w:iCs w:val="false"/>
          <w:sz w:val="19"/>
          <w:szCs w:val="19"/>
        </w:rPr>
        <w:t xml:space="preserve">ANOVA</w:t>
      </w:r>
    </w:p>
    <w:p>
      <w:pPr>
        <w:spacing w:after="140" w:before="30"/>
        <w:jc w:val="left"/>
      </w:pPr>
      <w:r>
        <w:rPr>
          <w:rFonts w:ascii="Arial" w:cs="Arial" w:eastAsia="Arial" w:hAnsi="Arial"/>
          <w:b w:val="false"/>
          <w:bCs w:val="false"/>
          <w:i w:val="false"/>
          <w:iCs w:val="false"/>
          <w:sz w:val="15"/>
          <w:szCs w:val="15"/>
        </w:rPr>
        <w:t xml:space="preserve">General Self-Efficacy score</w:t>
      </w:r>
    </w:p>
    <w:tbl>
      <w:tblPr>
        <w:tblW w:type="dxa" w:w="94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2400"/>
        <w:gridCol w:w="2000"/>
        <w:gridCol w:w="800"/>
        <w:gridCol w:w="1900"/>
        <w:gridCol w:w="1300"/>
        <w:gridCol w:w="1000"/>
      </w:tblGrid>
      <w:tr>
        <w:trPr>
          <w:tblHeader/>
        </w:trPr>
        <w:tc>
          <w:tcPr>
            <w:tcW w:type="dxa" w:w="2400"/>
            <w:tcMar>
              <w:top w:type="dxa" w:w="40"/>
              <w:left w:type="dxa" w:w="70"/>
              <w:bottom w:type="dxa" w:w="40"/>
              <w:right w:type="dxa" w:w="70"/>
            </w:tcMar>
          </w:tcPr>
          <w:p>
            <w:pPr>
              <w:spacing w:after="0" w:line="240"/>
              <w:jc w:val="left"/>
            </w:pPr>
            <w:r>
              <w:rPr>
                <w:rFonts w:ascii="Arial" w:cs="Arial" w:eastAsia="Arial" w:hAnsi="Arial"/>
                <w:b/>
                <w:bCs/>
                <w:i w:val="false"/>
                <w:iCs w:val="false"/>
                <w:sz w:val="18"/>
                <w:szCs w:val="18"/>
              </w:rPr>
              <w:t xml:space="preserve"/>
            </w:r>
          </w:p>
        </w:tc>
        <w:tc>
          <w:tcPr>
            <w:tcW w:type="dxa" w:w="20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Sum of Squares</w:t>
            </w:r>
          </w:p>
        </w:tc>
        <w:tc>
          <w:tcPr>
            <w:tcW w:type="dxa" w:w="8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df</w:t>
            </w:r>
          </w:p>
        </w:tc>
        <w:tc>
          <w:tcPr>
            <w:tcW w:type="dxa" w:w="19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Mean Square</w:t>
            </w:r>
          </w:p>
        </w:tc>
        <w:tc>
          <w:tcPr>
            <w:tcW w:type="dxa" w:w="13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F</w:t>
            </w:r>
          </w:p>
        </w:tc>
        <w:tc>
          <w:tcPr>
            <w:tcW w:type="dxa" w:w="10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Sig.</w:t>
            </w:r>
          </w:p>
        </w:tc>
      </w:tr>
      <w:tr>
        <w:tc>
          <w:tcPr>
            <w:tcW w:type="dxa" w:w="240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Between Groups</w:t>
            </w:r>
          </w:p>
        </w:tc>
        <w:tc>
          <w:tcPr>
            <w:tcW w:type="dxa" w:w="20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3.098</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w:t>
            </w:r>
          </w:p>
        </w:tc>
        <w:tc>
          <w:tcPr>
            <w:tcW w:type="dxa" w:w="1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1.549</w:t>
            </w:r>
          </w:p>
        </w:tc>
        <w:tc>
          <w:tcPr>
            <w:tcW w:type="dxa" w:w="13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5.177</w:t>
            </w:r>
          </w:p>
        </w:tc>
        <w:tc>
          <w:tcPr>
            <w:tcW w:type="dxa" w:w="10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.012</w:t>
            </w:r>
          </w:p>
        </w:tc>
      </w:tr>
      <w:tr>
        <w:tc>
          <w:tcPr>
            <w:tcW w:type="dxa" w:w="240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Within Groups</w:t>
            </w:r>
          </w:p>
        </w:tc>
        <w:tc>
          <w:tcPr>
            <w:tcW w:type="dxa" w:w="20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8.978</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30</w:t>
            </w:r>
          </w:p>
        </w:tc>
        <w:tc>
          <w:tcPr>
            <w:tcW w:type="dxa" w:w="1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.299</w:t>
            </w:r>
          </w:p>
        </w:tc>
        <w:tc>
          <w:tcPr>
            <w:tcW w:type="dxa" w:w="13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
            </w:r>
          </w:p>
        </w:tc>
        <w:tc>
          <w:tcPr>
            <w:tcW w:type="dxa" w:w="10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
            </w:r>
          </w:p>
        </w:tc>
      </w:tr>
      <w:tr>
        <w:tc>
          <w:tcPr>
            <w:tcW w:type="dxa" w:w="240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Total</w:t>
            </w:r>
          </w:p>
        </w:tc>
        <w:tc>
          <w:tcPr>
            <w:tcW w:type="dxa" w:w="20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12.076</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32</w:t>
            </w:r>
          </w:p>
        </w:tc>
        <w:tc>
          <w:tcPr>
            <w:tcW w:type="dxa" w:w="1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
            </w:r>
          </w:p>
        </w:tc>
        <w:tc>
          <w:tcPr>
            <w:tcW w:type="dxa" w:w="13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
            </w:r>
          </w:p>
        </w:tc>
        <w:tc>
          <w:tcPr>
            <w:tcW w:type="dxa" w:w="10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
            </w:r>
          </w:p>
        </w:tc>
      </w:tr>
    </w:tbl>
    <w:p>
      <w:pPr>
        <w:bidi/>
        <w:spacing w:after="160" w:before="80" w:line="360"/>
        <w:jc w:val="both"/>
      </w:pPr>
      <w:r>
        <w:rPr>
          <w:rFonts w:ascii="David" w:cs="David" w:eastAsia="David" w:hAnsi="David"/>
          <w:b w:val="false"/>
          <w:bCs w:val="false"/>
          <w:i w:val="false"/>
          <w:iCs w:val="false"/>
          <w:color w:val="000000"/>
          <w:sz w:val="24"/>
          <w:szCs w:val="24"/>
          <w:rtl/>
        </w:rPr>
        <w:t xml:space="preserve">להשוואת התנאים זה מול זה בוצע מבחן Tukey HSD. קבוצת חוויית השליטה (M=4.05) דיווחה על חוללות גבוהה יותר מקבוצת הביקורת (M=3.30), בהפרש של 0.75 שהיה מובהק (p=.008). קבוצת החשיפה העקיפה (M=3.70) לא נבדלה מהביקורת באופן מובהק (p=.21), וגם ההפרש בין חוויית השליטה לחשיפה העקיפה לא הגיע למובהקות (p=.30).</w:t>
      </w:r>
    </w:p>
    <w:p>
      <w:pPr>
        <w:spacing w:after="40" w:before="160"/>
        <w:jc w:val="left"/>
      </w:pPr>
      <w:r>
        <w:rPr>
          <w:rFonts w:ascii="Arial" w:cs="Arial" w:eastAsia="Arial" w:hAnsi="Arial"/>
          <w:b/>
          <w:bCs/>
          <w:i w:val="false"/>
          <w:iCs w:val="false"/>
          <w:sz w:val="19"/>
          <w:szCs w:val="19"/>
        </w:rPr>
        <w:t xml:space="preserve">Multiple Comparisons</w:t>
      </w:r>
    </w:p>
    <w:p>
      <w:pPr>
        <w:spacing w:after="140" w:before="30"/>
        <w:jc w:val="left"/>
      </w:pPr>
      <w:r>
        <w:rPr>
          <w:rFonts w:ascii="Arial" w:cs="Arial" w:eastAsia="Arial" w:hAnsi="Arial"/>
          <w:b w:val="false"/>
          <w:bCs w:val="false"/>
          <w:i w:val="false"/>
          <w:iCs w:val="false"/>
          <w:sz w:val="15"/>
          <w:szCs w:val="15"/>
        </w:rPr>
        <w:t xml:space="preserve">Dependent Variable: General Self-Efficacy score    Tukey HSD</w:t>
      </w:r>
    </w:p>
    <w:tbl>
      <w:tblPr>
        <w:tblW w:type="dxa" w:w="845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1550"/>
        <w:gridCol w:w="1550"/>
        <w:gridCol w:w="1350"/>
        <w:gridCol w:w="900"/>
        <w:gridCol w:w="800"/>
        <w:gridCol w:w="1150"/>
        <w:gridCol w:w="1150"/>
      </w:tblGrid>
      <w:tr>
        <w:trPr>
          <w:tblHeader/>
        </w:trPr>
        <w:tc>
          <w:tcPr>
            <w:tcW w:type="dxa" w:w="1550"/>
            <w:tcMar>
              <w:top w:type="dxa" w:w="40"/>
              <w:left w:type="dxa" w:w="70"/>
              <w:bottom w:type="dxa" w:w="40"/>
              <w:right w:type="dxa" w:w="70"/>
            </w:tcMar>
          </w:tcPr>
          <w:p>
            <w:pPr>
              <w:spacing w:after="0" w:line="240"/>
              <w:jc w:val="left"/>
            </w:pPr>
            <w:r>
              <w:rPr>
                <w:rFonts w:ascii="Arial" w:cs="Arial" w:eastAsia="Arial" w:hAnsi="Arial"/>
                <w:b/>
                <w:bCs/>
                <w:i w:val="false"/>
                <w:iCs w:val="false"/>
                <w:sz w:val="18"/>
                <w:szCs w:val="18"/>
              </w:rPr>
              <w:t xml:space="preserve">(I) Condition</w:t>
            </w:r>
          </w:p>
        </w:tc>
        <w:tc>
          <w:tcPr>
            <w:tcW w:type="dxa" w:w="1550"/>
            <w:tcMar>
              <w:top w:type="dxa" w:w="40"/>
              <w:left w:type="dxa" w:w="70"/>
              <w:bottom w:type="dxa" w:w="40"/>
              <w:right w:type="dxa" w:w="70"/>
            </w:tcMar>
          </w:tcPr>
          <w:p>
            <w:pPr>
              <w:spacing w:after="0" w:line="240"/>
              <w:jc w:val="left"/>
            </w:pPr>
            <w:r>
              <w:rPr>
                <w:rFonts w:ascii="Arial" w:cs="Arial" w:eastAsia="Arial" w:hAnsi="Arial"/>
                <w:b/>
                <w:bCs/>
                <w:i w:val="false"/>
                <w:iCs w:val="false"/>
                <w:sz w:val="18"/>
                <w:szCs w:val="18"/>
              </w:rPr>
              <w:t xml:space="preserve">(J) Condition</w:t>
            </w:r>
          </w:p>
        </w:tc>
        <w:tc>
          <w:tcPr>
            <w:tcW w:type="dxa" w:w="135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Mean Diff. (I-J)</w:t>
            </w:r>
          </w:p>
        </w:tc>
        <w:tc>
          <w:tcPr>
            <w:tcW w:type="dxa" w:w="9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Std. Error</w:t>
            </w:r>
          </w:p>
        </w:tc>
        <w:tc>
          <w:tcPr>
            <w:tcW w:type="dxa" w:w="8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Sig.</w:t>
            </w:r>
          </w:p>
        </w:tc>
        <w:tc>
          <w:tcPr>
            <w:tcW w:type="dxa" w:w="115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95% CI Lower</w:t>
            </w:r>
          </w:p>
        </w:tc>
        <w:tc>
          <w:tcPr>
            <w:tcW w:type="dxa" w:w="115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95% CI Upper</w:t>
            </w:r>
          </w:p>
        </w:tc>
      </w:tr>
      <w:tr>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Control</w:t>
            </w:r>
          </w:p>
        </w:tc>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Vicarious</w:t>
            </w:r>
          </w:p>
        </w:tc>
        <w:tc>
          <w:tcPr>
            <w:tcW w:type="dxa" w:w="13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-.40</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.233</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.213</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-.98</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.18</w:t>
            </w:r>
          </w:p>
        </w:tc>
      </w:tr>
      <w:tr>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Control</w:t>
            </w:r>
          </w:p>
        </w:tc>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Mastery</w:t>
            </w:r>
          </w:p>
        </w:tc>
        <w:tc>
          <w:tcPr>
            <w:tcW w:type="dxa" w:w="13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-.75*</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.233</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.008</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-1.33</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-.17</w:t>
            </w:r>
          </w:p>
        </w:tc>
      </w:tr>
      <w:tr>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Vicarious</w:t>
            </w:r>
          </w:p>
        </w:tc>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Control</w:t>
            </w:r>
          </w:p>
        </w:tc>
        <w:tc>
          <w:tcPr>
            <w:tcW w:type="dxa" w:w="13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.40</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.233</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.213</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-.18</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.98</w:t>
            </w:r>
          </w:p>
        </w:tc>
      </w:tr>
      <w:tr>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Vicarious</w:t>
            </w:r>
          </w:p>
        </w:tc>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Mastery</w:t>
            </w:r>
          </w:p>
        </w:tc>
        <w:tc>
          <w:tcPr>
            <w:tcW w:type="dxa" w:w="13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-.35</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.233</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.303</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-.93</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.23</w:t>
            </w:r>
          </w:p>
        </w:tc>
      </w:tr>
      <w:tr>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Mastery</w:t>
            </w:r>
          </w:p>
        </w:tc>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Control</w:t>
            </w:r>
          </w:p>
        </w:tc>
        <w:tc>
          <w:tcPr>
            <w:tcW w:type="dxa" w:w="13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.75*</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.233</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.008</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.17</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1.33</w:t>
            </w:r>
          </w:p>
        </w:tc>
      </w:tr>
      <w:tr>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Mastery</w:t>
            </w:r>
          </w:p>
        </w:tc>
        <w:tc>
          <w:tcPr>
            <w:tcW w:type="dxa" w:w="15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Vicarious</w:t>
            </w:r>
          </w:p>
        </w:tc>
        <w:tc>
          <w:tcPr>
            <w:tcW w:type="dxa" w:w="13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.35</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.233</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.303</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-.23</w:t>
            </w:r>
          </w:p>
        </w:tc>
        <w:tc>
          <w:tcPr>
            <w:tcW w:type="dxa" w:w="11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.93</w:t>
            </w:r>
          </w:p>
        </w:tc>
      </w:tr>
    </w:tbl>
    <w:p>
      <w:pPr>
        <w:spacing w:after="160" w:before="30"/>
        <w:jc w:val="left"/>
      </w:pPr>
      <w:r>
        <w:rPr>
          <w:rFonts w:ascii="Arial" w:cs="Arial" w:eastAsia="Arial" w:hAnsi="Arial"/>
          <w:b w:val="false"/>
          <w:bCs w:val="false"/>
          <w:i w:val="false"/>
          <w:iCs w:val="false"/>
          <w:sz w:val="15"/>
          <w:szCs w:val="15"/>
        </w:rPr>
        <w:t xml:space="preserve">*. The mean difference is significant at the 0.05 level.</w:t>
      </w:r>
    </w:p>
    <w:p>
      <w:pPr>
        <w:bidi/>
        <w:spacing w:after="160" w:before="0" w:line="360"/>
        <w:jc w:val="both"/>
      </w:pPr>
      <w:r>
        <w:rPr>
          <w:rFonts w:ascii="David" w:cs="David" w:eastAsia="David" w:hAnsi="David"/>
          <w:b w:val="false"/>
          <w:bCs w:val="false"/>
          <w:i w:val="false"/>
          <w:iCs w:val="false"/>
          <w:color w:val="000000"/>
          <w:sz w:val="24"/>
          <w:szCs w:val="24"/>
          <w:rtl/>
        </w:rPr>
        <w:t xml:space="preserve">הממצאים מוצגים גם באיור 1, שמראה את ממוצעי החוללות בשלושת התנאים יחד עם רווחי הסמך.</w:t>
      </w:r>
    </w:p>
    <w:p>
      <w:pPr>
        <w:bidi/>
        <w:spacing w:after="60" w:before="120"/>
        <w:jc w:val="center"/>
      </w:pPr>
      <w:r>
        <w:drawing>
          <wp:inline distT="0" distB="0" distL="0" distR="0">
            <wp:extent cx="409575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3048000"/>
                    </a:xfrm>
                    <a:prstGeom prst="rect">
                      <a:avLst/>
                    </a:prstGeom>
                  </pic:spPr>
                </pic:pic>
              </a:graphicData>
            </a:graphic>
          </wp:inline>
        </w:drawing>
      </w:r>
    </w:p>
    <w:p>
      <w:pPr>
        <w:bidi/>
        <w:spacing w:after="200"/>
        <w:jc w:val="center"/>
      </w:pPr>
      <w:r>
        <w:rPr>
          <w:rFonts w:ascii="David" w:cs="David" w:eastAsia="David" w:hAnsi="David"/>
          <w:b/>
          <w:bCs/>
          <w:i w:val="false"/>
          <w:iCs w:val="false"/>
          <w:color w:val="000000"/>
          <w:sz w:val="24"/>
          <w:szCs w:val="24"/>
          <w:rtl/>
        </w:rPr>
        <w:t xml:space="preserve">איור 1</w:t>
      </w:r>
      <w:r>
        <w:rPr>
          <w:rFonts w:ascii="David" w:cs="David" w:eastAsia="David" w:hAnsi="David"/>
          <w:b w:val="false"/>
          <w:bCs w:val="false"/>
          <w:i w:val="false"/>
          <w:iCs w:val="false"/>
          <w:color w:val="000000"/>
          <w:sz w:val="24"/>
          <w:szCs w:val="24"/>
          <w:rtl/>
        </w:rPr>
        <w:t xml:space="preserve">: ממוצעי החוללות העצמית לפי תנאי ניסויי (פלט SPSS). קווי השגיאה מייצגים רווח סמך של 95%.</w:t>
      </w:r>
    </w:p>
    <w:p>
      <w:r>
        <w:br w:type="page"/>
      </w:r>
    </w:p>
    <w:p>
      <w:pPr>
        <w:pStyle w:val="Heading1"/>
        <w:bidi/>
        <w:spacing w:after="160" w:before="300"/>
        <w:jc w:val="right"/>
      </w:pPr>
      <w:r>
        <w:rPr>
          <w:rFonts w:ascii="David" w:cs="David" w:eastAsia="David" w:hAnsi="David"/>
          <w:b/>
          <w:bCs/>
          <w:i w:val="false"/>
          <w:iCs w:val="false"/>
          <w:color w:val="000000"/>
          <w:sz w:val="32"/>
          <w:szCs w:val="32"/>
          <w:rtl/>
        </w:rPr>
        <w:t xml:space="preserve">דיון</w:t>
      </w:r>
    </w:p>
    <w:p>
      <w:pPr>
        <w:bidi/>
        <w:spacing w:after="160" w:before="0" w:line="360"/>
        <w:jc w:val="both"/>
      </w:pPr>
      <w:r>
        <w:rPr>
          <w:rFonts w:ascii="David" w:cs="David" w:eastAsia="David" w:hAnsi="David"/>
          <w:b w:val="false"/>
          <w:bCs w:val="false"/>
          <w:i w:val="false"/>
          <w:iCs w:val="false"/>
          <w:color w:val="000000"/>
          <w:sz w:val="24"/>
          <w:szCs w:val="24"/>
          <w:rtl/>
        </w:rPr>
        <w:t xml:space="preserve">מטרת המחקר הייתה לבחון את השפעתם של שני מקורות החוללות, חוויית שליטה וחשיפה עקיפה, על תחושת החוללות העצמית הכללית. הממצאים תמכו בהשערות באופן חלקי. ההשערה הראשונה אוששה. מי שנחשף לחוויית שליטה, כלומר נזכר בהצלחה אישית, דיווח על חוללות גבוהה יותר מקבוצת הביקורת, וההבדל היה מובהק. ההשערה השנייה לא אוששה. ההבדל בין החשיפה העקיפה לביקורת היה בכיוון הצפוי אך לא מובהק. ההשערה השלישית לא אוששה סטטיסטית, אף שדפוס הממוצעים תאם את כיוון התיאוריה.</w:t>
      </w:r>
    </w:p>
    <w:p>
      <w:pPr>
        <w:bidi/>
        <w:spacing w:after="160" w:before="0" w:line="360"/>
        <w:jc w:val="both"/>
      </w:pPr>
      <w:r>
        <w:rPr>
          <w:rFonts w:ascii="David" w:cs="David" w:eastAsia="David" w:hAnsi="David"/>
          <w:b w:val="false"/>
          <w:bCs w:val="false"/>
          <w:i w:val="false"/>
          <w:iCs w:val="false"/>
          <w:color w:val="000000"/>
          <w:sz w:val="24"/>
          <w:szCs w:val="24"/>
          <w:rtl/>
        </w:rPr>
        <w:t xml:space="preserve">הממצאים עולים בקנה אחד עם הטענה המרכזית של בנדורה (Bandura, 1997), שלפיה חוויות שליטה הן המקור החזק ביותר לחוללות עצמית. העובדה שאף התערבות קצרה ופשוטה, היזכרות מודרכת בהצלחה, הספיקה כדי להעלות את תחושת המסוגלות, ממחישה עד כמה המשתנה הזה גמיש, ומצביעה על הפוטנציאל היישומי של התערבויות כאלה בחינוך ובטיפול.</w:t>
      </w:r>
    </w:p>
    <w:p>
      <w:pPr>
        <w:bidi/>
        <w:spacing w:after="160" w:before="0" w:line="360"/>
        <w:jc w:val="both"/>
      </w:pPr>
      <w:r>
        <w:rPr>
          <w:rFonts w:ascii="David" w:cs="David" w:eastAsia="David" w:hAnsi="David"/>
          <w:b w:val="false"/>
          <w:bCs w:val="false"/>
          <w:i w:val="false"/>
          <w:iCs w:val="false"/>
          <w:color w:val="000000"/>
          <w:sz w:val="24"/>
          <w:szCs w:val="24"/>
          <w:rtl/>
        </w:rPr>
        <w:t xml:space="preserve">ההיעדר של אפקט מובהק בתנאי החשיפה העקיפה ניתן להסבר בכמה דרכים. לפי בנדורה, עוצמת ההשפעה של מודל תלויה במידת הדמיון הנתפס בינו לבין הצופה, וייתכן שעדות כתובה של עמית אנונימי לא יצרה תחושת דמיון מספקת. בנוסף, קריאת טקסט קצר עשויה להיות פחות משכנעת מהתבוננות במודל חי שמבצע משימה בפועל. ייתכן גם שחשיפה חד-פעמית פשוט אינה מספיקה, וכי דרושה חשיפה חוזרת כדי להשפיע.</w:t>
      </w:r>
    </w:p>
    <w:p>
      <w:pPr>
        <w:pStyle w:val="Heading2"/>
        <w:bidi/>
        <w:spacing w:after="120" w:before="220"/>
        <w:jc w:val="right"/>
      </w:pPr>
      <w:r>
        <w:rPr>
          <w:rFonts w:ascii="David" w:cs="David" w:eastAsia="David" w:hAnsi="David"/>
          <w:b/>
          <w:bCs/>
          <w:i w:val="false"/>
          <w:iCs w:val="false"/>
          <w:color w:val="000000"/>
          <w:sz w:val="27"/>
          <w:szCs w:val="27"/>
          <w:rtl/>
        </w:rPr>
        <w:t xml:space="preserve">מגבלות המחקר</w:t>
      </w:r>
    </w:p>
    <w:p>
      <w:pPr>
        <w:bidi/>
        <w:spacing w:after="160" w:before="0" w:line="360"/>
        <w:jc w:val="both"/>
      </w:pPr>
      <w:r>
        <w:rPr>
          <w:rFonts w:ascii="David" w:cs="David" w:eastAsia="David" w:hAnsi="David"/>
          <w:b w:val="false"/>
          <w:bCs w:val="false"/>
          <w:i w:val="false"/>
          <w:iCs w:val="false"/>
          <w:color w:val="000000"/>
          <w:sz w:val="24"/>
          <w:szCs w:val="24"/>
          <w:rtl/>
        </w:rPr>
        <w:t xml:space="preserve">למחקר כמה מגבלות. ראשית, המדגם קטן (N=33) ומורכב מסטודנטים בלבד, ולכן ההכללה מוגבלת והעוצמה הסטטיסטית לזהות אפקטים בינוניים נמוכה. שנית, המחקר נשען על דיווח עצמי, שחשוף להטיית רצייה חברתית. שלישית, לא נכללה מדידת בסיס לפני המניפולציה, כך שההשוואה בין-נבדקית בלבד, וייתכן שהבדלים אישיים קודמים תרמו לשונות. רביעית, לא נכלל מבחן מניפולציה שיוודא שהמשימות אכן הפעילו את התהליכים המיועדים. לבסוף, נמדדה השפעה מיידית ומצבית בלבד, ואין בה כדי ללמד על חוללות יציבה לאורך זמן.</w:t>
      </w:r>
    </w:p>
    <w:p>
      <w:pPr>
        <w:pStyle w:val="Heading2"/>
        <w:bidi/>
        <w:spacing w:after="120" w:before="220"/>
        <w:jc w:val="right"/>
      </w:pPr>
      <w:r>
        <w:rPr>
          <w:rFonts w:ascii="David" w:cs="David" w:eastAsia="David" w:hAnsi="David"/>
          <w:b/>
          <w:bCs/>
          <w:i w:val="false"/>
          <w:iCs w:val="false"/>
          <w:color w:val="000000"/>
          <w:sz w:val="27"/>
          <w:szCs w:val="27"/>
          <w:rtl/>
        </w:rPr>
        <w:t xml:space="preserve">הצעות למחקר עתידי</w:t>
      </w:r>
    </w:p>
    <w:p>
      <w:pPr>
        <w:bidi/>
        <w:spacing w:after="160" w:before="0" w:line="360"/>
        <w:jc w:val="both"/>
      </w:pPr>
      <w:r>
        <w:rPr>
          <w:rFonts w:ascii="David" w:cs="David" w:eastAsia="David" w:hAnsi="David"/>
          <w:b w:val="false"/>
          <w:bCs w:val="false"/>
          <w:i w:val="false"/>
          <w:iCs w:val="false"/>
          <w:color w:val="000000"/>
          <w:sz w:val="24"/>
          <w:szCs w:val="24"/>
          <w:rtl/>
        </w:rPr>
        <w:t xml:space="preserve">מחקר המשך יוכל להגדיל ולגוון את המדגם, ולהוסיף מדידת בסיס ותכנון עם מדידות חוזרות כדי לאמוד שינוי ברמת הפרט. כדאי לחזק את מניפולציית החשיפה העקיפה, למשל בעזרת מודל וידאו חי, בחירת מודל דומה למשתתף, או חשיפה חוזרת, ולהוסיף מבחן מניפולציה. אפשר גם להרחיב את המדידה למדדים התנהגותיים, כמו התמדה במשימה, ולא רק לדיווח עצמי, ולבחון את עמידות האפקט לאורך זמן.</w:t>
      </w:r>
    </w:p>
    <w:p>
      <w:pPr>
        <w:pStyle w:val="Heading2"/>
        <w:bidi/>
        <w:spacing w:after="120" w:before="220"/>
        <w:jc w:val="right"/>
      </w:pPr>
      <w:r>
        <w:rPr>
          <w:rFonts w:ascii="David" w:cs="David" w:eastAsia="David" w:hAnsi="David"/>
          <w:b/>
          <w:bCs/>
          <w:i w:val="false"/>
          <w:iCs w:val="false"/>
          <w:color w:val="000000"/>
          <w:sz w:val="27"/>
          <w:szCs w:val="27"/>
          <w:rtl/>
        </w:rPr>
        <w:t xml:space="preserve">סיכום</w:t>
      </w:r>
    </w:p>
    <w:p>
      <w:pPr>
        <w:bidi/>
        <w:spacing w:after="160" w:before="0" w:line="360"/>
        <w:jc w:val="both"/>
      </w:pPr>
      <w:r>
        <w:rPr>
          <w:rFonts w:ascii="David" w:cs="David" w:eastAsia="David" w:hAnsi="David"/>
          <w:b w:val="false"/>
          <w:bCs w:val="false"/>
          <w:i w:val="false"/>
          <w:iCs w:val="false"/>
          <w:color w:val="000000"/>
          <w:sz w:val="24"/>
          <w:szCs w:val="24"/>
          <w:rtl/>
        </w:rPr>
        <w:t xml:space="preserve">המחקר מדגים שאינדוקציה קצרה של חוויית שליטה, בדמות היזכרות בהצלחה אישית, מעלה את תחושת החוללות העצמית, בעוד שחשיפה עקיפה קצרה בדמות עדות כתובה לא הניבה אפקט מובהק. הממצאים תומכים בבכורתן של חוויות השליטה כמקור לחוללות, ומדגישים את הפוטנציאל שבהתערבויות פשוטות לחיזוק תחושת המסוגלות, לצד הצורך במחקר גדול ומבוקר יותר.</w:t>
      </w:r>
    </w:p>
    <w:p>
      <w:r>
        <w:br w:type="page"/>
      </w:r>
    </w:p>
    <w:p>
      <w:pPr>
        <w:pStyle w:val="Heading1"/>
        <w:bidi/>
        <w:spacing w:after="160" w:before="300"/>
        <w:jc w:val="right"/>
      </w:pPr>
      <w:r>
        <w:rPr>
          <w:rFonts w:ascii="David" w:cs="David" w:eastAsia="David" w:hAnsi="David"/>
          <w:b/>
          <w:bCs/>
          <w:i w:val="false"/>
          <w:iCs w:val="false"/>
          <w:color w:val="000000"/>
          <w:sz w:val="32"/>
          <w:szCs w:val="32"/>
          <w:rtl/>
        </w:rPr>
        <w:t xml:space="preserve">רשימת מקורות</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גרינבנק, א', ואגם בן-ארצי, ג' (2018). תחושת המסוגלות העצמית של סייעות פדגוגיות העובדות עם תלמידים עם צרכים מיוחדים. מפגש לעבודה חינוכית-סוציאלית, 26(47), 53-73.</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לב, ס', וריץ', י' (1999). מסוגלות מורים: משמעותה, מדידתה ותרומתו של היועץ לחיזוקה. עיונים בחינוך, 4(1), 87-117.</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שאנק, ד' ה' (2001). מסוגלות עצמית ומוטיבציה לימודית. חינוך החשיבה, 20, 55-77. מכון ברנקו וייס. (תורגם מ: Schunk, D. H. (1991). Self-efficacy and academic motivation. Educational Psychologist, 26(3-4), 207-231.)</w:t>
      </w:r>
    </w:p>
    <w:p>
      <w:pPr>
        <w:spacing w:after="140" w:line="360"/>
        <w:ind w:left="720" w:hanging="720"/>
        <w:jc w:val="left"/>
      </w:pPr>
      <w:r>
        <w:rPr>
          <w:rFonts w:ascii="David" w:cs="David" w:eastAsia="David" w:hAnsi="David"/>
          <w:i w:val="false"/>
          <w:iCs w:val="false"/>
          <w:sz w:val="24"/>
          <w:szCs w:val="24"/>
        </w:rPr>
        <w:t xml:space="preserve">Abdolrezapour, P., Jahanbakhsh Ganjeh, S., &amp; Ghanbari, N. (2023). Self-efficacy and resilience as predictors of students’ academic motivation in online education. </w:t>
      </w:r>
      <w:r>
        <w:rPr>
          <w:rFonts w:ascii="David" w:cs="David" w:eastAsia="David" w:hAnsi="David"/>
          <w:i/>
          <w:iCs/>
          <w:sz w:val="24"/>
          <w:szCs w:val="24"/>
        </w:rPr>
        <w:t xml:space="preserve">PLOS ONE, 18</w:t>
      </w:r>
      <w:r>
        <w:rPr>
          <w:rFonts w:ascii="David" w:cs="David" w:eastAsia="David" w:hAnsi="David"/>
          <w:i w:val="false"/>
          <w:iCs w:val="false"/>
          <w:sz w:val="24"/>
          <w:szCs w:val="24"/>
        </w:rPr>
        <w:t xml:space="preserve">(5), e0285984. https://doi.org/10.1371/journal.pone.0285984</w:t>
      </w:r>
    </w:p>
    <w:p>
      <w:pPr>
        <w:spacing w:after="140" w:line="360"/>
        <w:ind w:left="720" w:hanging="720"/>
        <w:jc w:val="left"/>
      </w:pPr>
      <w:r>
        <w:rPr>
          <w:rFonts w:ascii="David" w:cs="David" w:eastAsia="David" w:hAnsi="David"/>
          <w:i w:val="false"/>
          <w:iCs w:val="false"/>
          <w:sz w:val="24"/>
          <w:szCs w:val="24"/>
        </w:rPr>
        <w:t xml:space="preserve">Bandura, A. (1977). Self-efficacy: Toward a unifying theory of behavioral change. </w:t>
      </w:r>
      <w:r>
        <w:rPr>
          <w:rFonts w:ascii="David" w:cs="David" w:eastAsia="David" w:hAnsi="David"/>
          <w:i/>
          <w:iCs/>
          <w:sz w:val="24"/>
          <w:szCs w:val="24"/>
        </w:rPr>
        <w:t xml:space="preserve">Psychological Review, 84</w:t>
      </w:r>
      <w:r>
        <w:rPr>
          <w:rFonts w:ascii="David" w:cs="David" w:eastAsia="David" w:hAnsi="David"/>
          <w:i w:val="false"/>
          <w:iCs w:val="false"/>
          <w:sz w:val="24"/>
          <w:szCs w:val="24"/>
        </w:rPr>
        <w:t xml:space="preserve">(2), 191-215. https://doi.org/10.1037/0033-295X.84.2.191</w:t>
      </w:r>
    </w:p>
    <w:p>
      <w:pPr>
        <w:spacing w:after="140" w:line="360"/>
        <w:ind w:left="720" w:hanging="720"/>
        <w:jc w:val="left"/>
      </w:pPr>
      <w:r>
        <w:rPr>
          <w:rFonts w:ascii="David" w:cs="David" w:eastAsia="David" w:hAnsi="David"/>
          <w:i w:val="false"/>
          <w:iCs w:val="false"/>
          <w:sz w:val="24"/>
          <w:szCs w:val="24"/>
        </w:rPr>
        <w:t xml:space="preserve">Bandura, A. (1997). </w:t>
      </w:r>
      <w:r>
        <w:rPr>
          <w:rFonts w:ascii="David" w:cs="David" w:eastAsia="David" w:hAnsi="David"/>
          <w:i/>
          <w:iCs/>
          <w:sz w:val="24"/>
          <w:szCs w:val="24"/>
        </w:rPr>
        <w:t xml:space="preserve">Self-efficacy: The exercise of control</w:t>
      </w:r>
      <w:r>
        <w:rPr>
          <w:rFonts w:ascii="David" w:cs="David" w:eastAsia="David" w:hAnsi="David"/>
          <w:i w:val="false"/>
          <w:iCs w:val="false"/>
          <w:sz w:val="24"/>
          <w:szCs w:val="24"/>
        </w:rPr>
        <w:t xml:space="preserve">. W. H. Freeman.</w:t>
      </w:r>
    </w:p>
    <w:p>
      <w:pPr>
        <w:spacing w:after="140" w:line="360"/>
        <w:ind w:left="720" w:hanging="720"/>
        <w:jc w:val="left"/>
      </w:pPr>
      <w:r>
        <w:rPr>
          <w:rFonts w:ascii="David" w:cs="David" w:eastAsia="David" w:hAnsi="David"/>
          <w:i w:val="false"/>
          <w:iCs w:val="false"/>
          <w:sz w:val="24"/>
          <w:szCs w:val="24"/>
        </w:rPr>
        <w:t xml:space="preserve">Basileo, L. D., Otto, B., Lyons, M., Vannini, N., &amp; Toth, M. D. (2024). The role of self-efficacy, motivation, and perceived support of students’ basic psychological needs in academic achievement. </w:t>
      </w:r>
      <w:r>
        <w:rPr>
          <w:rFonts w:ascii="David" w:cs="David" w:eastAsia="David" w:hAnsi="David"/>
          <w:i/>
          <w:iCs/>
          <w:sz w:val="24"/>
          <w:szCs w:val="24"/>
        </w:rPr>
        <w:t xml:space="preserve">Frontiers in Education, 9</w:t>
      </w:r>
      <w:r>
        <w:rPr>
          <w:rFonts w:ascii="David" w:cs="David" w:eastAsia="David" w:hAnsi="David"/>
          <w:i w:val="false"/>
          <w:iCs w:val="false"/>
          <w:sz w:val="24"/>
          <w:szCs w:val="24"/>
        </w:rPr>
        <w:t xml:space="preserve">, 1385442. https://doi.org/10.3389/feduc.2024.1385442</w:t>
      </w:r>
    </w:p>
    <w:p>
      <w:pPr>
        <w:spacing w:after="140" w:line="360"/>
        <w:ind w:left="720" w:hanging="720"/>
        <w:jc w:val="left"/>
      </w:pPr>
      <w:r>
        <w:rPr>
          <w:rFonts w:ascii="David" w:cs="David" w:eastAsia="David" w:hAnsi="David"/>
          <w:i w:val="false"/>
          <w:iCs w:val="false"/>
          <w:sz w:val="24"/>
          <w:szCs w:val="24"/>
        </w:rPr>
        <w:t xml:space="preserve">Chen, G., Gully, S. M., &amp; Eden, D. (2001). Validation of a new general self-efficacy scale. </w:t>
      </w:r>
      <w:r>
        <w:rPr>
          <w:rFonts w:ascii="David" w:cs="David" w:eastAsia="David" w:hAnsi="David"/>
          <w:i/>
          <w:iCs/>
          <w:sz w:val="24"/>
          <w:szCs w:val="24"/>
        </w:rPr>
        <w:t xml:space="preserve">Organizational Research Methods, 4</w:t>
      </w:r>
      <w:r>
        <w:rPr>
          <w:rFonts w:ascii="David" w:cs="David" w:eastAsia="David" w:hAnsi="David"/>
          <w:i w:val="false"/>
          <w:iCs w:val="false"/>
          <w:sz w:val="24"/>
          <w:szCs w:val="24"/>
        </w:rPr>
        <w:t xml:space="preserve">(1), 62-83. https://doi.org/10.1177/109442810141004</w:t>
      </w:r>
    </w:p>
    <w:p>
      <w:pPr>
        <w:spacing w:after="140" w:line="360"/>
        <w:ind w:left="720" w:hanging="720"/>
        <w:jc w:val="left"/>
      </w:pPr>
      <w:r>
        <w:rPr>
          <w:rFonts w:ascii="David" w:cs="David" w:eastAsia="David" w:hAnsi="David"/>
          <w:i w:val="false"/>
          <w:iCs w:val="false"/>
          <w:sz w:val="24"/>
          <w:szCs w:val="24"/>
        </w:rPr>
        <w:t xml:space="preserve">Luszczynska, A., Scholz, U., &amp; Schwarzer, R. (2005). The general self-efficacy scale: Multicultural validation studies. </w:t>
      </w:r>
      <w:r>
        <w:rPr>
          <w:rFonts w:ascii="David" w:cs="David" w:eastAsia="David" w:hAnsi="David"/>
          <w:i/>
          <w:iCs/>
          <w:sz w:val="24"/>
          <w:szCs w:val="24"/>
        </w:rPr>
        <w:t xml:space="preserve">The Journal of Psychology, 139</w:t>
      </w:r>
      <w:r>
        <w:rPr>
          <w:rFonts w:ascii="David" w:cs="David" w:eastAsia="David" w:hAnsi="David"/>
          <w:i w:val="false"/>
          <w:iCs w:val="false"/>
          <w:sz w:val="24"/>
          <w:szCs w:val="24"/>
        </w:rPr>
        <w:t xml:space="preserve">(5), 439-457. https://doi.org/10.3200/JRLP.139.5.439-457</w:t>
      </w:r>
    </w:p>
    <w:p>
      <w:r>
        <w:br w:type="page"/>
      </w:r>
    </w:p>
    <w:p>
      <w:pPr>
        <w:pStyle w:val="Heading1"/>
        <w:bidi/>
        <w:spacing w:after="160" w:before="300"/>
        <w:jc w:val="right"/>
      </w:pPr>
      <w:r>
        <w:rPr>
          <w:rFonts w:ascii="David" w:cs="David" w:eastAsia="David" w:hAnsi="David"/>
          <w:b/>
          <w:bCs/>
          <w:i w:val="false"/>
          <w:iCs w:val="false"/>
          <w:color w:val="000000"/>
          <w:sz w:val="32"/>
          <w:szCs w:val="32"/>
          <w:rtl/>
        </w:rPr>
        <w:t xml:space="preserve">נספחים</w:t>
      </w:r>
    </w:p>
    <w:p>
      <w:pPr>
        <w:pStyle w:val="Heading2"/>
        <w:bidi/>
        <w:spacing w:after="120" w:before="220"/>
        <w:jc w:val="right"/>
      </w:pPr>
      <w:r>
        <w:rPr>
          <w:rFonts w:ascii="David" w:cs="David" w:eastAsia="David" w:hAnsi="David"/>
          <w:b/>
          <w:bCs/>
          <w:i w:val="false"/>
          <w:iCs w:val="false"/>
          <w:color w:val="000000"/>
          <w:sz w:val="27"/>
          <w:szCs w:val="27"/>
          <w:rtl/>
        </w:rPr>
        <w:t xml:space="preserve">נספח א: שאלון החוללות העצמית הכללית (NGSE)</w:t>
      </w:r>
    </w:p>
    <w:p>
      <w:pPr>
        <w:bidi/>
        <w:spacing w:after="160" w:before="0" w:line="360"/>
        <w:jc w:val="both"/>
      </w:pPr>
      <w:r>
        <w:rPr>
          <w:rFonts w:ascii="David" w:cs="David" w:eastAsia="David" w:hAnsi="David"/>
          <w:b w:val="false"/>
          <w:bCs w:val="false"/>
          <w:i w:val="false"/>
          <w:iCs w:val="false"/>
          <w:color w:val="000000"/>
          <w:sz w:val="24"/>
          <w:szCs w:val="24"/>
          <w:rtl/>
        </w:rPr>
        <w:t xml:space="preserve">להלן שמונה היגדים. לכל היגד סמן/י עד כמה את/ה מסכים/ה עמו, בסולם שבין 1 (מתנגד מאוד) ל-5 (מסכים מאוד).</w:t>
      </w:r>
    </w:p>
    <w:p>
      <w:pPr>
        <w:bidi/>
        <w:spacing w:after="120" w:before="0" w:line="360"/>
        <w:jc w:val="both"/>
      </w:pPr>
      <w:r>
        <w:rPr>
          <w:rFonts w:ascii="David" w:cs="David" w:eastAsia="David" w:hAnsi="David"/>
          <w:b w:val="false"/>
          <w:bCs w:val="false"/>
          <w:i/>
          <w:iCs/>
          <w:color w:val="000000"/>
          <w:sz w:val="24"/>
          <w:szCs w:val="24"/>
          <w:rtl/>
        </w:rPr>
        <w:t xml:space="preserve">סולם התשובות: 1 = מתנגד מאוד, 2 = מתנגד, 3 = לא מסכים ולא מתנגד, 4 = מסכים, 5 = מסכים מאוד.</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אני יכול להשיג את מרבית המטרות שהצבתי לעצמי.        1   2   3   4   5</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באופן כללי, אני חושב שאני יכול להשיג את מה שחשוב לי.        1   2   3   4   5</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אף כאשר המצב קשה, אני יכול לבצע טוב למדי.        1   2   3   4   5</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כאשר אני ניצב מול משימות קשות, אני בטוח שאוכל לבצען.        1   2   3   4   5</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אני בטוח שאני יכול לבצע מטלות רבות בהצלחה.        1   2   3   4   5</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אוכל לעמוד באתגרים רבים בהצלחה.        1   2   3   4   5</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אני יכול להצליח בכל משימה כאשר אני נחוש בדעתי.        1   2   3   4   5</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בהשוואה לאנשים אחרים, אני יכול לבצע את רוב המטלות היטב.        1   2   3   4   5</w:t>
      </w:r>
    </w:p>
    <w:p>
      <w:pPr>
        <w:bidi/>
        <w:spacing w:after="120" w:before="60" w:line="360"/>
        <w:jc w:val="both"/>
      </w:pPr>
      <w:r>
        <w:rPr>
          <w:rFonts w:ascii="David" w:cs="David" w:eastAsia="David" w:hAnsi="David"/>
          <w:b w:val="false"/>
          <w:bCs w:val="false"/>
          <w:i w:val="false"/>
          <w:iCs w:val="false"/>
          <w:color w:val="000000"/>
          <w:sz w:val="24"/>
          <w:szCs w:val="24"/>
          <w:rtl/>
        </w:rPr>
        <w:t xml:space="preserve">תודה!</w:t>
      </w:r>
    </w:p>
    <w:p>
      <w:pPr>
        <w:bidi/>
        <w:spacing w:after="160" w:before="0" w:line="360"/>
        <w:jc w:val="both"/>
      </w:pPr>
      <w:r>
        <w:rPr>
          <w:rFonts w:ascii="David" w:cs="David" w:eastAsia="David" w:hAnsi="David"/>
          <w:b/>
          <w:bCs/>
          <w:i w:val="false"/>
          <w:iCs w:val="false"/>
          <w:color w:val="000000"/>
          <w:sz w:val="24"/>
          <w:szCs w:val="24"/>
          <w:rtl/>
        </w:rPr>
        <w:t xml:space="preserve">על השאלון. </w:t>
      </w:r>
      <w:r>
        <w:rPr>
          <w:rFonts w:ascii="David" w:cs="David" w:eastAsia="David" w:hAnsi="David"/>
          <w:b w:val="false"/>
          <w:bCs w:val="false"/>
          <w:i w:val="false"/>
          <w:iCs w:val="false"/>
          <w:color w:val="000000"/>
          <w:sz w:val="24"/>
          <w:szCs w:val="24"/>
          <w:rtl/>
        </w:rPr>
        <w:t xml:space="preserve">שאלון החוללות העצמית הכללית (NGSE) פותח ותוקף על ידי צ'ן, גאלי ואדן (Chen et al., 2001). הוא כולל שמונה היגדים המדורגים בסולם ליקרט בן חמש דרגות, וציון החוללות מחושב כממוצע הפריטים. במחקרים קודמים נמצאה מהימנות פנימית גבוהה (α קרונבך סביב .85 עד .90), ובמחקר הנוכחי המהימנות הייתה α=.87.</w:t>
      </w:r>
    </w:p>
    <w:p>
      <w:pPr>
        <w:bidi/>
        <w:spacing w:after="160" w:before="0" w:line="360"/>
        <w:jc w:val="both"/>
      </w:pPr>
      <w:r>
        <w:rPr>
          <w:rFonts w:ascii="David" w:cs="David" w:eastAsia="David" w:hAnsi="David"/>
          <w:b/>
          <w:bCs/>
          <w:i w:val="false"/>
          <w:iCs w:val="false"/>
          <w:color w:val="000000"/>
          <w:sz w:val="24"/>
          <w:szCs w:val="24"/>
          <w:rtl/>
        </w:rPr>
        <w:t xml:space="preserve">מקור השאלון: </w:t>
      </w:r>
      <w:r>
        <w:rPr>
          <w:rFonts w:ascii="David" w:cs="David" w:eastAsia="David" w:hAnsi="David"/>
          <w:i w:val="false"/>
          <w:iCs w:val="false"/>
          <w:sz w:val="24"/>
          <w:szCs w:val="24"/>
        </w:rPr>
        <w:t xml:space="preserve">Chen, G., Gully, S. M., &amp; Eden, D. (2001). Validation of a new general self-efficacy scale. </w:t>
      </w:r>
      <w:r>
        <w:rPr>
          <w:rFonts w:ascii="David" w:cs="David" w:eastAsia="David" w:hAnsi="David"/>
          <w:i/>
          <w:iCs/>
          <w:sz w:val="24"/>
          <w:szCs w:val="24"/>
        </w:rPr>
        <w:t xml:space="preserve">Organizational Research Methods, 4</w:t>
      </w:r>
      <w:r>
        <w:rPr>
          <w:rFonts w:ascii="David" w:cs="David" w:eastAsia="David" w:hAnsi="David"/>
          <w:i w:val="false"/>
          <w:iCs w:val="false"/>
          <w:sz w:val="24"/>
          <w:szCs w:val="24"/>
        </w:rPr>
        <w:t xml:space="preserve">(1), 62-83.</w:t>
      </w:r>
    </w:p>
    <w:p>
      <w:pPr>
        <w:bidi/>
        <w:spacing w:after="60" w:before="0" w:line="360"/>
        <w:jc w:val="both"/>
      </w:pPr>
      <w:r>
        <w:rPr>
          <w:rFonts w:ascii="David" w:cs="David" w:eastAsia="David" w:hAnsi="David"/>
          <w:b w:val="false"/>
          <w:bCs w:val="false"/>
          <w:i w:val="false"/>
          <w:iCs w:val="false"/>
          <w:color w:val="000000"/>
          <w:sz w:val="24"/>
          <w:szCs w:val="24"/>
          <w:rtl/>
        </w:rPr>
        <w:t xml:space="preserve"/>
      </w:r>
    </w:p>
    <w:p>
      <w:pPr>
        <w:pStyle w:val="Heading2"/>
        <w:bidi/>
        <w:spacing w:after="120" w:before="220"/>
        <w:jc w:val="right"/>
      </w:pPr>
      <w:r>
        <w:rPr>
          <w:rFonts w:ascii="David" w:cs="David" w:eastAsia="David" w:hAnsi="David"/>
          <w:b/>
          <w:bCs/>
          <w:i w:val="false"/>
          <w:iCs w:val="false"/>
          <w:color w:val="000000"/>
          <w:sz w:val="27"/>
          <w:szCs w:val="27"/>
          <w:rtl/>
        </w:rPr>
        <w:t xml:space="preserve">נספח ב: הוראות המניפולציה</w:t>
      </w:r>
    </w:p>
    <w:p>
      <w:pPr>
        <w:bidi/>
        <w:spacing w:after="160" w:before="0" w:line="360"/>
        <w:jc w:val="both"/>
      </w:pPr>
      <w:r>
        <w:rPr>
          <w:rFonts w:ascii="David" w:cs="David" w:eastAsia="David" w:hAnsi="David"/>
          <w:b/>
          <w:bCs/>
          <w:i w:val="false"/>
          <w:iCs w:val="false"/>
          <w:color w:val="000000"/>
          <w:sz w:val="24"/>
          <w:szCs w:val="24"/>
          <w:rtl/>
        </w:rPr>
        <w:t xml:space="preserve">תנאי 1, חוויית שליטה: </w:t>
      </w:r>
      <w:r>
        <w:rPr>
          <w:rFonts w:ascii="David" w:cs="David" w:eastAsia="David" w:hAnsi="David"/>
          <w:b w:val="false"/>
          <w:bCs w:val="false"/>
          <w:i w:val="false"/>
          <w:iCs w:val="false"/>
          <w:color w:val="000000"/>
          <w:sz w:val="24"/>
          <w:szCs w:val="24"/>
          <w:rtl/>
        </w:rPr>
        <w:t xml:space="preserve">"אנא היזכר/י באירוע מן העבר שבו התמודדת עם משימה מאתגרת והצלחת בה בזכות מאמץ והתמדה. תאר/י בכתב, בארבעה עד חמישה משפטים, מה עשית וכיצד הרגשת בעקבות ההצלחה."</w:t>
      </w:r>
    </w:p>
    <w:p>
      <w:pPr>
        <w:bidi/>
        <w:spacing w:after="160" w:before="0" w:line="360"/>
        <w:jc w:val="both"/>
      </w:pPr>
      <w:r>
        <w:rPr>
          <w:rFonts w:ascii="David" w:cs="David" w:eastAsia="David" w:hAnsi="David"/>
          <w:b/>
          <w:bCs/>
          <w:i w:val="false"/>
          <w:iCs w:val="false"/>
          <w:color w:val="000000"/>
          <w:sz w:val="24"/>
          <w:szCs w:val="24"/>
          <w:rtl/>
        </w:rPr>
        <w:t xml:space="preserve">תנאי 2, חשיפה עקיפה: </w:t>
      </w:r>
      <w:r>
        <w:rPr>
          <w:rFonts w:ascii="David" w:cs="David" w:eastAsia="David" w:hAnsi="David"/>
          <w:b w:val="false"/>
          <w:bCs w:val="false"/>
          <w:i w:val="false"/>
          <w:iCs w:val="false"/>
          <w:color w:val="000000"/>
          <w:sz w:val="24"/>
          <w:szCs w:val="24"/>
          <w:rtl/>
        </w:rPr>
        <w:t xml:space="preserve">"לפניך עדות קצרה של סטודנט/ית: 'בתחילת הסמסטר התקשיתי מאוד בקורס הסטטיסטיקה וחשבתי שלא אצליח. חילקתי את החומר לחלקים קטנים, תרגלתי מדי יום ונעזרתי בקבוצת למידה. בהדרגה הרגשתי שאני שולט/ת בחומר, ובסופו של דבר עברתי את המבחן בהצלחה.' אנא קרא/י את העדות והרהר/י בה במשך דקה."</w:t>
      </w:r>
    </w:p>
    <w:p>
      <w:pPr>
        <w:bidi/>
        <w:spacing w:after="160" w:before="0" w:line="360"/>
        <w:jc w:val="both"/>
      </w:pPr>
      <w:r>
        <w:rPr>
          <w:rFonts w:ascii="David" w:cs="David" w:eastAsia="David" w:hAnsi="David"/>
          <w:b/>
          <w:bCs/>
          <w:i w:val="false"/>
          <w:iCs w:val="false"/>
          <w:color w:val="000000"/>
          <w:sz w:val="24"/>
          <w:szCs w:val="24"/>
          <w:rtl/>
        </w:rPr>
        <w:t xml:space="preserve">תנאי 3, ביקורת: </w:t>
      </w:r>
      <w:r>
        <w:rPr>
          <w:rFonts w:ascii="David" w:cs="David" w:eastAsia="David" w:hAnsi="David"/>
          <w:b w:val="false"/>
          <w:bCs w:val="false"/>
          <w:i w:val="false"/>
          <w:iCs w:val="false"/>
          <w:color w:val="000000"/>
          <w:sz w:val="24"/>
          <w:szCs w:val="24"/>
          <w:rtl/>
        </w:rPr>
        <w:t xml:space="preserve">"תאר/י בכתב, בארבעה עד חמישה משפטים, את מסלול ההגעה היומי שלך מהבית אל מקום הלימודים."</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start="576" w:hanging="316"/>
      </w:pPr>
      <w:rPr>
        <w:rFonts w:ascii="David" w:cs="David" w:eastAsia="David" w:hAnsi="Davi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David" w:cs="David" w:eastAsia="David" w:hAnsi="David"/>
      <w:b/>
      <w:bCs/>
      <w:color w:val="000000"/>
      <w:sz w:val="32"/>
      <w:szCs w:val="32"/>
    </w:rPr>
  </w:style>
  <w:style w:type="paragraph" w:styleId="Heading2">
    <w:name w:val="Heading 2"/>
    <w:basedOn w:val="Normal"/>
    <w:next w:val="Normal"/>
    <w:qFormat/>
    <w:rPr>
      <w:rFonts w:ascii="David" w:cs="David" w:eastAsia="David" w:hAnsi="David"/>
      <w:b/>
      <w:bCs/>
      <w:color w:val="000000"/>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901c12da345ee0631c5753ee5dd0f978deb4d6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סמינריון חוללות עצמית</dc:title>
  <dc:creator>ClickWriting</dc:creator>
  <cp:lastModifiedBy>Un-named</cp:lastModifiedBy>
  <cp:revision>1</cp:revision>
  <dcterms:created xsi:type="dcterms:W3CDTF">2026-07-27T05:30:38.225Z</dcterms:created>
  <dcterms:modified xsi:type="dcterms:W3CDTF">2026-07-27T05:30:38.225Z</dcterms:modified>
</cp:coreProperties>
</file>

<file path=docProps/custom.xml><?xml version="1.0" encoding="utf-8"?>
<Properties xmlns="http://schemas.openxmlformats.org/officeDocument/2006/custom-properties" xmlns:vt="http://schemas.openxmlformats.org/officeDocument/2006/docPropsVTypes"/>
</file>