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line="360"/>
        <w:jc w:val="center"/>
      </w:pPr>
      <w:r>
        <w:rPr>
          <w:rFonts w:ascii="Times New Roman" w:cs="Simplified Arabic" w:hAnsi="Times New Roman"/>
          <w:b/>
          <w:bCs/>
          <w:sz w:val="30"/>
          <w:szCs w:val="30"/>
          <w:rtl/>
        </w:rPr>
        <w:t xml:space="preserve">[اسم المؤسسة الأكاديمية]</w:t>
      </w:r>
    </w:p>
    <w:p>
      <w:pPr>
        <w:bidi/>
        <w:spacing w:after="480" w:line="360"/>
        <w:jc w:val="center"/>
      </w:pPr>
      <w:r>
        <w:rPr>
          <w:rFonts w:ascii="Times New Roman" w:cs="Simplified Arabic" w:hAnsi="Times New Roman"/>
          <w:sz w:val="28"/>
          <w:szCs w:val="28"/>
          <w:rtl/>
        </w:rPr>
        <w:t xml:space="preserve">[اسم البرنامج / القسم]</w:t>
      </w:r>
    </w:p>
    <w:p>
      <w:pPr>
        <w:bidi/>
        <w:spacing w:after="0" w:line="360"/>
        <w:jc w:val="center"/>
      </w:pPr>
      <w:r>
        <w:rPr>
          <w:rFonts w:ascii="Times New Roman" w:cs="Simplified Arabic" w:hAnsi="Times New Roman"/>
          <w:sz w:val="28"/>
          <w:szCs w:val="28"/>
          <w:rtl/>
        </w:rPr>
        <w:t xml:space="preserve">[اسم الكورس ورقمه]</w:t>
      </w:r>
    </w:p>
    <w:p>
      <w:pPr>
        <w:bidi/>
        <w:spacing w:after="1400" w:line="360"/>
        <w:jc w:val="center"/>
      </w:pPr>
      <w:r>
        <w:rPr>
          <w:rFonts w:ascii="Times New Roman" w:cs="Simplified Arabic" w:hAnsi="Times New Roman"/>
          <w:sz w:val="28"/>
          <w:szCs w:val="28"/>
          <w:rtl/>
        </w:rPr>
        <w:t xml:space="preserve">[اسم المحاضرة]</w:t>
      </w:r>
    </w:p>
    <w:p>
      <w:pPr>
        <w:bidi/>
        <w:spacing w:after="0" w:line="360"/>
        <w:jc w:val="center"/>
      </w:pPr>
      <w:r>
        <w:rPr>
          <w:rFonts w:ascii="Times New Roman" w:cs="Simplified Arabic" w:hAnsi="Times New Roman"/>
          <w:b/>
          <w:bCs/>
          <w:sz w:val="40"/>
          <w:szCs w:val="40"/>
          <w:rtl/>
        </w:rPr>
        <w:t xml:space="preserve">الذكاء الاصطناعي ودمجه في التعليم</w:t>
      </w:r>
    </w:p>
    <w:p>
      <w:pPr>
        <w:bidi/>
        <w:spacing w:after="0" w:line="360"/>
        <w:jc w:val="center"/>
      </w:pPr>
      <w:r>
        <w:rPr>
          <w:rFonts w:ascii="Times New Roman" w:cs="Simplified Arabic" w:hAnsi="Times New Roman"/>
          <w:b/>
          <w:bCs/>
          <w:sz w:val="32"/>
          <w:szCs w:val="32"/>
          <w:rtl/>
        </w:rPr>
        <w:t xml:space="preserve">تصميم وحدة تعليمية في العلوم للصف الخامس</w:t>
      </w:r>
    </w:p>
    <w:p>
      <w:pPr>
        <w:bidi/>
        <w:spacing w:after="240" w:line="360"/>
        <w:jc w:val="center"/>
      </w:pPr>
      <w:r>
        <w:rPr>
          <w:rFonts w:ascii="Times New Roman" w:cs="Simplified Arabic" w:hAnsi="Times New Roman"/>
          <w:b/>
          <w:bCs/>
          <w:sz w:val="32"/>
          <w:szCs w:val="32"/>
          <w:rtl/>
        </w:rPr>
        <w:t xml:space="preserve">باستخدام أداة Canva</w:t>
      </w:r>
    </w:p>
    <w:p>
      <w:pPr>
        <w:bidi/>
        <w:spacing w:after="1400" w:line="360"/>
        <w:jc w:val="center"/>
      </w:pPr>
      <w:r>
        <w:rPr>
          <w:rFonts w:ascii="Times New Roman" w:cs="Simplified Arabic" w:hAnsi="Times New Roman"/>
          <w:sz w:val="28"/>
          <w:szCs w:val="28"/>
          <w:rtl/>
        </w:rPr>
        <w:t xml:space="preserve">عمل سيمنار</w:t>
      </w:r>
    </w:p>
    <w:p>
      <w:pPr>
        <w:bidi/>
        <w:spacing w:after="0" w:line="360"/>
        <w:jc w:val="center"/>
      </w:pPr>
      <w:r>
        <w:rPr>
          <w:rFonts w:ascii="Times New Roman" w:cs="Simplified Arabic" w:hAnsi="Times New Roman"/>
          <w:sz w:val="28"/>
          <w:szCs w:val="28"/>
          <w:rtl/>
        </w:rPr>
        <w:t xml:space="preserve">إعداد: [الاسم الكامل]</w:t>
      </w:r>
    </w:p>
    <w:p>
      <w:pPr>
        <w:bidi/>
        <w:spacing w:after="1200" w:line="360"/>
        <w:jc w:val="center"/>
      </w:pPr>
      <w:r>
        <w:rPr>
          <w:rFonts w:ascii="Times New Roman" w:cs="Simplified Arabic" w:hAnsi="Times New Roman"/>
          <w:sz w:val="28"/>
          <w:szCs w:val="28"/>
          <w:rtl/>
        </w:rPr>
        <w:t xml:space="preserve">رقم الهوية: [__________]</w:t>
      </w:r>
    </w:p>
    <w:p>
      <w:pPr>
        <w:bidi/>
        <w:spacing w:after="0" w:line="360"/>
        <w:jc w:val="center"/>
      </w:pPr>
      <w:r>
        <w:rPr>
          <w:rFonts w:ascii="Times New Roman" w:cs="Simplified Arabic" w:hAnsi="Times New Roman"/>
          <w:sz w:val="28"/>
          <w:szCs w:val="28"/>
          <w:rtl/>
        </w:rPr>
        <w:t xml:space="preserve">التاريخ العبري: [__________]</w:t>
      </w:r>
    </w:p>
    <w:p>
      <w:pPr>
        <w:bidi/>
        <w:spacing w:after="0" w:line="360"/>
        <w:jc w:val="center"/>
      </w:pPr>
      <w:r>
        <w:rPr>
          <w:rFonts w:ascii="Times New Roman" w:cs="Simplified Arabic" w:hAnsi="Times New Roman"/>
          <w:sz w:val="28"/>
          <w:szCs w:val="28"/>
          <w:rtl/>
        </w:rPr>
        <w:t xml:space="preserve">التاريخ الميلادي: [__________]</w:t>
      </w:r>
    </w:p>
    <w:p>
      <w:r>
        <w:br w:type="page"/>
      </w:r>
    </w:p>
    <w:p>
      <w:pPr>
        <w:bidi/>
        <w:spacing w:after="400" w:line="480"/>
        <w:jc w:val="center"/>
      </w:pPr>
      <w:r>
        <w:rPr>
          <w:rFonts w:ascii="Times New Roman" w:cs="Simplified Arabic" w:hAnsi="Times New Roman"/>
          <w:b/>
          <w:bCs/>
          <w:sz w:val="32"/>
          <w:szCs w:val="32"/>
          <w:rtl/>
        </w:rPr>
        <w:t xml:space="preserve">فهرس المحتويات</w:t>
      </w:r>
    </w:p>
    <w:tbl>
      <w:tblPr>
        <w:bidiVisual/>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8000"/>
        <w:gridCol w:w="1072"/>
      </w:tblGrid>
      <w:tr>
        <w:tc>
          <w:tcPr>
            <w:tcW w:type="dxa" w:w="8000"/>
            <w:tcBorders>
              <w:top w:val="none" w:color="FFFFFF" w:sz="0"/>
              <w:left w:val="none" w:color="FFFFFF" w:sz="0"/>
              <w:bottom w:val="none" w:color="FFFFFF" w:sz="0"/>
              <w:right w:val="none" w:color="FFFFFF" w:sz="0"/>
            </w:tcBorders>
            <w:tcMar>
              <w:top w:type="dxa" w:w="30"/>
              <w:left w:type="dxa" w:w="0"/>
              <w:bottom w:type="dxa" w:w="30"/>
              <w:right w:type="dxa" w:w="0"/>
            </w:tcMar>
          </w:tcPr>
          <w:p>
            <w:pPr>
              <w:bidi/>
              <w:spacing w:after="0" w:line="300"/>
              <w:ind w:start="0"/>
              <w:jc w:val="right"/>
            </w:pPr>
            <w:r>
              <w:rPr>
                <w:rFonts w:ascii="Times New Roman" w:cs="Simplified Arabic" w:hAnsi="Times New Roman"/>
                <w:b/>
                <w:bCs/>
                <w:sz w:val="26"/>
                <w:szCs w:val="26"/>
                <w:rtl/>
              </w:rPr>
              <w:t xml:space="preserve">ملخّص</w:t>
            </w:r>
          </w:p>
        </w:tc>
        <w:tc>
          <w:tcPr>
            <w:tcW w:type="dxa" w:w="1072"/>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line="300"/>
              <w:jc w:val="center"/>
            </w:pPr>
            <w:r>
              <w:rPr>
                <w:rFonts w:ascii="Times New Roman" w:cs="Simplified Arabic" w:hAnsi="Times New Roman"/>
                <w:b/>
                <w:bCs/>
                <w:sz w:val="24"/>
                <w:szCs w:val="24"/>
                <w:rtl/>
              </w:rPr>
              <w:t xml:space="preserve">3</w:t>
            </w:r>
          </w:p>
        </w:tc>
      </w:tr>
      <w:tr>
        <w:tc>
          <w:tcPr>
            <w:tcW w:type="dxa" w:w="8000"/>
            <w:tcBorders>
              <w:top w:val="none" w:color="FFFFFF" w:sz="0"/>
              <w:left w:val="none" w:color="FFFFFF" w:sz="0"/>
              <w:bottom w:val="none" w:color="FFFFFF" w:sz="0"/>
              <w:right w:val="none" w:color="FFFFFF" w:sz="0"/>
            </w:tcBorders>
            <w:tcMar>
              <w:top w:type="dxa" w:w="30"/>
              <w:left w:type="dxa" w:w="0"/>
              <w:bottom w:type="dxa" w:w="30"/>
              <w:right w:type="dxa" w:w="0"/>
            </w:tcMar>
          </w:tcPr>
          <w:p>
            <w:pPr>
              <w:bidi/>
              <w:spacing w:after="0" w:line="300"/>
              <w:ind w:start="0"/>
              <w:jc w:val="right"/>
            </w:pPr>
            <w:r>
              <w:rPr>
                <w:rFonts w:ascii="Times New Roman" w:cs="Simplified Arabic" w:hAnsi="Times New Roman"/>
                <w:b/>
                <w:bCs/>
                <w:sz w:val="26"/>
                <w:szCs w:val="26"/>
                <w:rtl/>
              </w:rPr>
              <w:t xml:space="preserve">المقدمة</w:t>
            </w:r>
          </w:p>
        </w:tc>
        <w:tc>
          <w:tcPr>
            <w:tcW w:type="dxa" w:w="1072"/>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line="300"/>
              <w:jc w:val="center"/>
            </w:pPr>
            <w:r>
              <w:rPr>
                <w:rFonts w:ascii="Times New Roman" w:cs="Simplified Arabic" w:hAnsi="Times New Roman"/>
                <w:b/>
                <w:bCs/>
                <w:sz w:val="24"/>
                <w:szCs w:val="24"/>
                <w:rtl/>
              </w:rPr>
              <w:t xml:space="preserve">4</w:t>
            </w:r>
          </w:p>
        </w:tc>
      </w:tr>
      <w:tr>
        <w:tc>
          <w:tcPr>
            <w:tcW w:type="dxa" w:w="8000"/>
            <w:tcBorders>
              <w:top w:val="none" w:color="FFFFFF" w:sz="0"/>
              <w:left w:val="none" w:color="FFFFFF" w:sz="0"/>
              <w:bottom w:val="none" w:color="FFFFFF" w:sz="0"/>
              <w:right w:val="none" w:color="FFFFFF" w:sz="0"/>
            </w:tcBorders>
            <w:tcMar>
              <w:top w:type="dxa" w:w="30"/>
              <w:left w:type="dxa" w:w="0"/>
              <w:bottom w:type="dxa" w:w="30"/>
              <w:right w:type="dxa" w:w="0"/>
            </w:tcMar>
          </w:tcPr>
          <w:p>
            <w:pPr>
              <w:bidi/>
              <w:spacing w:after="0" w:line="300"/>
              <w:ind w:start="0"/>
              <w:jc w:val="right"/>
            </w:pPr>
            <w:r>
              <w:rPr>
                <w:rFonts w:ascii="Times New Roman" w:cs="Simplified Arabic" w:hAnsi="Times New Roman"/>
                <w:b/>
                <w:bCs/>
                <w:sz w:val="26"/>
                <w:szCs w:val="26"/>
                <w:rtl/>
              </w:rPr>
              <w:t xml:space="preserve">الإطار النظري</w:t>
            </w:r>
          </w:p>
        </w:tc>
        <w:tc>
          <w:tcPr>
            <w:tcW w:type="dxa" w:w="1072"/>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line="300"/>
              <w:jc w:val="center"/>
            </w:pPr>
            <w:r>
              <w:rPr>
                <w:rFonts w:ascii="Times New Roman" w:cs="Simplified Arabic" w:hAnsi="Times New Roman"/>
                <w:b/>
                <w:bCs/>
                <w:sz w:val="24"/>
                <w:szCs w:val="24"/>
                <w:rtl/>
              </w:rPr>
              <w:t xml:space="preserve">6</w:t>
            </w:r>
          </w:p>
        </w:tc>
      </w:tr>
      <w:tr>
        <w:tc>
          <w:tcPr>
            <w:tcW w:type="dxa" w:w="8000"/>
            <w:tcBorders>
              <w:top w:val="none" w:color="FFFFFF" w:sz="0"/>
              <w:left w:val="none" w:color="FFFFFF" w:sz="0"/>
              <w:bottom w:val="none" w:color="FFFFFF" w:sz="0"/>
              <w:right w:val="none" w:color="FFFFFF" w:sz="0"/>
            </w:tcBorders>
            <w:tcMar>
              <w:top w:type="dxa" w:w="30"/>
              <w:left w:type="dxa" w:w="0"/>
              <w:bottom w:type="dxa" w:w="30"/>
              <w:right w:type="dxa" w:w="0"/>
            </w:tcMar>
          </w:tcPr>
          <w:p>
            <w:pPr>
              <w:bidi/>
              <w:spacing w:after="0" w:line="300"/>
              <w:ind w:start="280"/>
              <w:jc w:val="right"/>
            </w:pPr>
            <w:r>
              <w:rPr>
                <w:rFonts w:ascii="Times New Roman" w:cs="Simplified Arabic" w:hAnsi="Times New Roman"/>
                <w:b w:val="false"/>
                <w:bCs w:val="false"/>
                <w:sz w:val="24"/>
                <w:szCs w:val="24"/>
                <w:rtl/>
              </w:rPr>
              <w:t xml:space="preserve">مفهوم الذكاء الاصطناعي وتطوّره</w:t>
            </w:r>
          </w:p>
        </w:tc>
        <w:tc>
          <w:tcPr>
            <w:tcW w:type="dxa" w:w="1072"/>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line="300"/>
              <w:jc w:val="center"/>
            </w:pPr>
            <w:r>
              <w:rPr>
                <w:rFonts w:ascii="Times New Roman" w:cs="Simplified Arabic" w:hAnsi="Times New Roman"/>
                <w:b w:val="false"/>
                <w:bCs w:val="false"/>
                <w:sz w:val="24"/>
                <w:szCs w:val="24"/>
                <w:rtl/>
              </w:rPr>
              <w:t xml:space="preserve">6</w:t>
            </w:r>
          </w:p>
        </w:tc>
      </w:tr>
      <w:tr>
        <w:tc>
          <w:tcPr>
            <w:tcW w:type="dxa" w:w="8000"/>
            <w:tcBorders>
              <w:top w:val="none" w:color="FFFFFF" w:sz="0"/>
              <w:left w:val="none" w:color="FFFFFF" w:sz="0"/>
              <w:bottom w:val="none" w:color="FFFFFF" w:sz="0"/>
              <w:right w:val="none" w:color="FFFFFF" w:sz="0"/>
            </w:tcBorders>
            <w:tcMar>
              <w:top w:type="dxa" w:w="30"/>
              <w:left w:type="dxa" w:w="0"/>
              <w:bottom w:type="dxa" w:w="30"/>
              <w:right w:type="dxa" w:w="0"/>
            </w:tcMar>
          </w:tcPr>
          <w:p>
            <w:pPr>
              <w:bidi/>
              <w:spacing w:after="0" w:line="300"/>
              <w:ind w:start="280"/>
              <w:jc w:val="right"/>
            </w:pPr>
            <w:r>
              <w:rPr>
                <w:rFonts w:ascii="Times New Roman" w:cs="Simplified Arabic" w:hAnsi="Times New Roman"/>
                <w:b w:val="false"/>
                <w:bCs w:val="false"/>
                <w:sz w:val="24"/>
                <w:szCs w:val="24"/>
                <w:rtl/>
              </w:rPr>
              <w:t xml:space="preserve">التقنيات المركزية ودلالتها التربوية</w:t>
            </w:r>
          </w:p>
        </w:tc>
        <w:tc>
          <w:tcPr>
            <w:tcW w:type="dxa" w:w="1072"/>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line="300"/>
              <w:jc w:val="center"/>
            </w:pPr>
            <w:r>
              <w:rPr>
                <w:rFonts w:ascii="Times New Roman" w:cs="Simplified Arabic" w:hAnsi="Times New Roman"/>
                <w:b w:val="false"/>
                <w:bCs w:val="false"/>
                <w:sz w:val="24"/>
                <w:szCs w:val="24"/>
                <w:rtl/>
              </w:rPr>
              <w:t xml:space="preserve">6</w:t>
            </w:r>
          </w:p>
        </w:tc>
      </w:tr>
      <w:tr>
        <w:tc>
          <w:tcPr>
            <w:tcW w:type="dxa" w:w="8000"/>
            <w:tcBorders>
              <w:top w:val="none" w:color="FFFFFF" w:sz="0"/>
              <w:left w:val="none" w:color="FFFFFF" w:sz="0"/>
              <w:bottom w:val="none" w:color="FFFFFF" w:sz="0"/>
              <w:right w:val="none" w:color="FFFFFF" w:sz="0"/>
            </w:tcBorders>
            <w:tcMar>
              <w:top w:type="dxa" w:w="30"/>
              <w:left w:type="dxa" w:w="0"/>
              <w:bottom w:type="dxa" w:w="30"/>
              <w:right w:type="dxa" w:w="0"/>
            </w:tcMar>
          </w:tcPr>
          <w:p>
            <w:pPr>
              <w:bidi/>
              <w:spacing w:after="0" w:line="300"/>
              <w:ind w:start="280"/>
              <w:jc w:val="right"/>
            </w:pPr>
            <w:r>
              <w:rPr>
                <w:rFonts w:ascii="Times New Roman" w:cs="Simplified Arabic" w:hAnsi="Times New Roman"/>
                <w:b w:val="false"/>
                <w:bCs w:val="false"/>
                <w:sz w:val="24"/>
                <w:szCs w:val="24"/>
                <w:rtl/>
              </w:rPr>
              <w:t xml:space="preserve">مجالات الدمج في العمل التربوي</w:t>
            </w:r>
          </w:p>
        </w:tc>
        <w:tc>
          <w:tcPr>
            <w:tcW w:type="dxa" w:w="1072"/>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line="300"/>
              <w:jc w:val="center"/>
            </w:pPr>
            <w:r>
              <w:rPr>
                <w:rFonts w:ascii="Times New Roman" w:cs="Simplified Arabic" w:hAnsi="Times New Roman"/>
                <w:b w:val="false"/>
                <w:bCs w:val="false"/>
                <w:sz w:val="24"/>
                <w:szCs w:val="24"/>
                <w:rtl/>
              </w:rPr>
              <w:t xml:space="preserve">7</w:t>
            </w:r>
          </w:p>
        </w:tc>
      </w:tr>
      <w:tr>
        <w:tc>
          <w:tcPr>
            <w:tcW w:type="dxa" w:w="8000"/>
            <w:tcBorders>
              <w:top w:val="none" w:color="FFFFFF" w:sz="0"/>
              <w:left w:val="none" w:color="FFFFFF" w:sz="0"/>
              <w:bottom w:val="none" w:color="FFFFFF" w:sz="0"/>
              <w:right w:val="none" w:color="FFFFFF" w:sz="0"/>
            </w:tcBorders>
            <w:tcMar>
              <w:top w:type="dxa" w:w="30"/>
              <w:left w:type="dxa" w:w="0"/>
              <w:bottom w:type="dxa" w:w="30"/>
              <w:right w:type="dxa" w:w="0"/>
            </w:tcMar>
          </w:tcPr>
          <w:p>
            <w:pPr>
              <w:bidi/>
              <w:spacing w:after="0" w:line="300"/>
              <w:ind w:start="280"/>
              <w:jc w:val="right"/>
            </w:pPr>
            <w:r>
              <w:rPr>
                <w:rFonts w:ascii="Times New Roman" w:cs="Simplified Arabic" w:hAnsi="Times New Roman"/>
                <w:b w:val="false"/>
                <w:bCs w:val="false"/>
                <w:sz w:val="24"/>
                <w:szCs w:val="24"/>
                <w:rtl/>
              </w:rPr>
              <w:t xml:space="preserve">الفرص والقيود في المسح البحثي</w:t>
            </w:r>
          </w:p>
        </w:tc>
        <w:tc>
          <w:tcPr>
            <w:tcW w:type="dxa" w:w="1072"/>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line="300"/>
              <w:jc w:val="center"/>
            </w:pPr>
            <w:r>
              <w:rPr>
                <w:rFonts w:ascii="Times New Roman" w:cs="Simplified Arabic" w:hAnsi="Times New Roman"/>
                <w:b w:val="false"/>
                <w:bCs w:val="false"/>
                <w:sz w:val="24"/>
                <w:szCs w:val="24"/>
                <w:rtl/>
              </w:rPr>
              <w:t xml:space="preserve">7</w:t>
            </w:r>
          </w:p>
        </w:tc>
      </w:tr>
      <w:tr>
        <w:tc>
          <w:tcPr>
            <w:tcW w:type="dxa" w:w="8000"/>
            <w:tcBorders>
              <w:top w:val="none" w:color="FFFFFF" w:sz="0"/>
              <w:left w:val="none" w:color="FFFFFF" w:sz="0"/>
              <w:bottom w:val="none" w:color="FFFFFF" w:sz="0"/>
              <w:right w:val="none" w:color="FFFFFF" w:sz="0"/>
            </w:tcBorders>
            <w:tcMar>
              <w:top w:type="dxa" w:w="30"/>
              <w:left w:type="dxa" w:w="0"/>
              <w:bottom w:type="dxa" w:w="30"/>
              <w:right w:type="dxa" w:w="0"/>
            </w:tcMar>
          </w:tcPr>
          <w:p>
            <w:pPr>
              <w:bidi/>
              <w:spacing w:after="0" w:line="300"/>
              <w:ind w:start="280"/>
              <w:jc w:val="right"/>
            </w:pPr>
            <w:r>
              <w:rPr>
                <w:rFonts w:ascii="Times New Roman" w:cs="Simplified Arabic" w:hAnsi="Times New Roman"/>
                <w:b w:val="false"/>
                <w:bCs w:val="false"/>
                <w:sz w:val="24"/>
                <w:szCs w:val="24"/>
                <w:rtl/>
              </w:rPr>
              <w:t xml:space="preserve">الذكاء الاصطناعي في تدريس العلوم</w:t>
            </w:r>
          </w:p>
        </w:tc>
        <w:tc>
          <w:tcPr>
            <w:tcW w:type="dxa" w:w="1072"/>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line="300"/>
              <w:jc w:val="center"/>
            </w:pPr>
            <w:r>
              <w:rPr>
                <w:rFonts w:ascii="Times New Roman" w:cs="Simplified Arabic" w:hAnsi="Times New Roman"/>
                <w:b w:val="false"/>
                <w:bCs w:val="false"/>
                <w:sz w:val="24"/>
                <w:szCs w:val="24"/>
                <w:rtl/>
              </w:rPr>
              <w:t xml:space="preserve">8</w:t>
            </w:r>
          </w:p>
        </w:tc>
      </w:tr>
      <w:tr>
        <w:tc>
          <w:tcPr>
            <w:tcW w:type="dxa" w:w="8000"/>
            <w:tcBorders>
              <w:top w:val="none" w:color="FFFFFF" w:sz="0"/>
              <w:left w:val="none" w:color="FFFFFF" w:sz="0"/>
              <w:bottom w:val="none" w:color="FFFFFF" w:sz="0"/>
              <w:right w:val="none" w:color="FFFFFF" w:sz="0"/>
            </w:tcBorders>
            <w:tcMar>
              <w:top w:type="dxa" w:w="30"/>
              <w:left w:type="dxa" w:w="0"/>
              <w:bottom w:type="dxa" w:w="30"/>
              <w:right w:type="dxa" w:w="0"/>
            </w:tcMar>
          </w:tcPr>
          <w:p>
            <w:pPr>
              <w:bidi/>
              <w:spacing w:after="0" w:line="300"/>
              <w:ind w:start="280"/>
              <w:jc w:val="right"/>
            </w:pPr>
            <w:r>
              <w:rPr>
                <w:rFonts w:ascii="Times New Roman" w:cs="Simplified Arabic" w:hAnsi="Times New Roman"/>
                <w:b w:val="false"/>
                <w:bCs w:val="false"/>
                <w:sz w:val="24"/>
                <w:szCs w:val="24"/>
                <w:rtl/>
              </w:rPr>
              <w:t xml:space="preserve">كفايات المعلّم: إطار TPACK</w:t>
            </w:r>
          </w:p>
        </w:tc>
        <w:tc>
          <w:tcPr>
            <w:tcW w:type="dxa" w:w="1072"/>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line="300"/>
              <w:jc w:val="center"/>
            </w:pPr>
            <w:r>
              <w:rPr>
                <w:rFonts w:ascii="Times New Roman" w:cs="Simplified Arabic" w:hAnsi="Times New Roman"/>
                <w:b w:val="false"/>
                <w:bCs w:val="false"/>
                <w:sz w:val="24"/>
                <w:szCs w:val="24"/>
                <w:rtl/>
              </w:rPr>
              <w:t xml:space="preserve">8</w:t>
            </w:r>
          </w:p>
        </w:tc>
      </w:tr>
      <w:tr>
        <w:tc>
          <w:tcPr>
            <w:tcW w:type="dxa" w:w="8000"/>
            <w:tcBorders>
              <w:top w:val="none" w:color="FFFFFF" w:sz="0"/>
              <w:left w:val="none" w:color="FFFFFF" w:sz="0"/>
              <w:bottom w:val="none" w:color="FFFFFF" w:sz="0"/>
              <w:right w:val="none" w:color="FFFFFF" w:sz="0"/>
            </w:tcBorders>
            <w:tcMar>
              <w:top w:type="dxa" w:w="30"/>
              <w:left w:type="dxa" w:w="0"/>
              <w:bottom w:type="dxa" w:w="30"/>
              <w:right w:type="dxa" w:w="0"/>
            </w:tcMar>
          </w:tcPr>
          <w:p>
            <w:pPr>
              <w:bidi/>
              <w:spacing w:after="0" w:line="300"/>
              <w:ind w:start="280"/>
              <w:jc w:val="right"/>
            </w:pPr>
            <w:r>
              <w:rPr>
                <w:rFonts w:ascii="Times New Roman" w:cs="Simplified Arabic" w:hAnsi="Times New Roman"/>
                <w:b w:val="false"/>
                <w:bCs w:val="false"/>
                <w:sz w:val="24"/>
                <w:szCs w:val="24"/>
                <w:rtl/>
              </w:rPr>
              <w:t xml:space="preserve">المعوقات</w:t>
            </w:r>
          </w:p>
        </w:tc>
        <w:tc>
          <w:tcPr>
            <w:tcW w:type="dxa" w:w="1072"/>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line="300"/>
              <w:jc w:val="center"/>
            </w:pPr>
            <w:r>
              <w:rPr>
                <w:rFonts w:ascii="Times New Roman" w:cs="Simplified Arabic" w:hAnsi="Times New Roman"/>
                <w:b w:val="false"/>
                <w:bCs w:val="false"/>
                <w:sz w:val="24"/>
                <w:szCs w:val="24"/>
                <w:rtl/>
              </w:rPr>
              <w:t xml:space="preserve">9</w:t>
            </w:r>
          </w:p>
        </w:tc>
      </w:tr>
      <w:tr>
        <w:tc>
          <w:tcPr>
            <w:tcW w:type="dxa" w:w="8000"/>
            <w:tcBorders>
              <w:top w:val="none" w:color="FFFFFF" w:sz="0"/>
              <w:left w:val="none" w:color="FFFFFF" w:sz="0"/>
              <w:bottom w:val="none" w:color="FFFFFF" w:sz="0"/>
              <w:right w:val="none" w:color="FFFFFF" w:sz="0"/>
            </w:tcBorders>
            <w:tcMar>
              <w:top w:type="dxa" w:w="30"/>
              <w:left w:type="dxa" w:w="0"/>
              <w:bottom w:type="dxa" w:w="30"/>
              <w:right w:type="dxa" w:w="0"/>
            </w:tcMar>
          </w:tcPr>
          <w:p>
            <w:pPr>
              <w:bidi/>
              <w:spacing w:after="0" w:line="300"/>
              <w:ind w:start="280"/>
              <w:jc w:val="right"/>
            </w:pPr>
            <w:r>
              <w:rPr>
                <w:rFonts w:ascii="Times New Roman" w:cs="Simplified Arabic" w:hAnsi="Times New Roman"/>
                <w:b w:val="false"/>
                <w:bCs w:val="false"/>
                <w:sz w:val="24"/>
                <w:szCs w:val="24"/>
                <w:rtl/>
              </w:rPr>
              <w:t xml:space="preserve">الأخلاقيات وحماية التلاميذ</w:t>
            </w:r>
          </w:p>
        </w:tc>
        <w:tc>
          <w:tcPr>
            <w:tcW w:type="dxa" w:w="1072"/>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line="300"/>
              <w:jc w:val="center"/>
            </w:pPr>
            <w:r>
              <w:rPr>
                <w:rFonts w:ascii="Times New Roman" w:cs="Simplified Arabic" w:hAnsi="Times New Roman"/>
                <w:b w:val="false"/>
                <w:bCs w:val="false"/>
                <w:sz w:val="24"/>
                <w:szCs w:val="24"/>
                <w:rtl/>
              </w:rPr>
              <w:t xml:space="preserve">9</w:t>
            </w:r>
          </w:p>
        </w:tc>
      </w:tr>
      <w:tr>
        <w:tc>
          <w:tcPr>
            <w:tcW w:type="dxa" w:w="8000"/>
            <w:tcBorders>
              <w:top w:val="none" w:color="FFFFFF" w:sz="0"/>
              <w:left w:val="none" w:color="FFFFFF" w:sz="0"/>
              <w:bottom w:val="none" w:color="FFFFFF" w:sz="0"/>
              <w:right w:val="none" w:color="FFFFFF" w:sz="0"/>
            </w:tcBorders>
            <w:tcMar>
              <w:top w:type="dxa" w:w="30"/>
              <w:left w:type="dxa" w:w="0"/>
              <w:bottom w:type="dxa" w:w="30"/>
              <w:right w:type="dxa" w:w="0"/>
            </w:tcMar>
          </w:tcPr>
          <w:p>
            <w:pPr>
              <w:bidi/>
              <w:spacing w:after="0" w:line="300"/>
              <w:ind w:start="280"/>
              <w:jc w:val="right"/>
            </w:pPr>
            <w:r>
              <w:rPr>
                <w:rFonts w:ascii="Times New Roman" w:cs="Simplified Arabic" w:hAnsi="Times New Roman"/>
                <w:b w:val="false"/>
                <w:bCs w:val="false"/>
                <w:sz w:val="24"/>
                <w:szCs w:val="24"/>
                <w:rtl/>
              </w:rPr>
              <w:t xml:space="preserve">التعلّم البصري والألعاب الرقمية والبازل</w:t>
            </w:r>
          </w:p>
        </w:tc>
        <w:tc>
          <w:tcPr>
            <w:tcW w:type="dxa" w:w="1072"/>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line="300"/>
              <w:jc w:val="center"/>
            </w:pPr>
            <w:r>
              <w:rPr>
                <w:rFonts w:ascii="Times New Roman" w:cs="Simplified Arabic" w:hAnsi="Times New Roman"/>
                <w:b w:val="false"/>
                <w:bCs w:val="false"/>
                <w:sz w:val="24"/>
                <w:szCs w:val="24"/>
                <w:rtl/>
              </w:rPr>
              <w:t xml:space="preserve">10</w:t>
            </w:r>
          </w:p>
        </w:tc>
      </w:tr>
      <w:tr>
        <w:tc>
          <w:tcPr>
            <w:tcW w:type="dxa" w:w="8000"/>
            <w:tcBorders>
              <w:top w:val="none" w:color="FFFFFF" w:sz="0"/>
              <w:left w:val="none" w:color="FFFFFF" w:sz="0"/>
              <w:bottom w:val="none" w:color="FFFFFF" w:sz="0"/>
              <w:right w:val="none" w:color="FFFFFF" w:sz="0"/>
            </w:tcBorders>
            <w:tcMar>
              <w:top w:type="dxa" w:w="30"/>
              <w:left w:type="dxa" w:w="0"/>
              <w:bottom w:type="dxa" w:w="30"/>
              <w:right w:type="dxa" w:w="0"/>
            </w:tcMar>
          </w:tcPr>
          <w:p>
            <w:pPr>
              <w:bidi/>
              <w:spacing w:after="0" w:line="300"/>
              <w:ind w:start="280"/>
              <w:jc w:val="right"/>
            </w:pPr>
            <w:r>
              <w:rPr>
                <w:rFonts w:ascii="Times New Roman" w:cs="Simplified Arabic" w:hAnsi="Times New Roman"/>
                <w:b w:val="false"/>
                <w:bCs w:val="false"/>
                <w:sz w:val="24"/>
                <w:szCs w:val="24"/>
                <w:rtl/>
              </w:rPr>
              <w:t xml:space="preserve">أداة Canva وقدراتها المدعومة بالذكاء الاصطناعي</w:t>
            </w:r>
          </w:p>
        </w:tc>
        <w:tc>
          <w:tcPr>
            <w:tcW w:type="dxa" w:w="1072"/>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line="300"/>
              <w:jc w:val="center"/>
            </w:pPr>
            <w:r>
              <w:rPr>
                <w:rFonts w:ascii="Times New Roman" w:cs="Simplified Arabic" w:hAnsi="Times New Roman"/>
                <w:b w:val="false"/>
                <w:bCs w:val="false"/>
                <w:sz w:val="24"/>
                <w:szCs w:val="24"/>
                <w:rtl/>
              </w:rPr>
              <w:t xml:space="preserve">10</w:t>
            </w:r>
          </w:p>
        </w:tc>
      </w:tr>
      <w:tr>
        <w:tc>
          <w:tcPr>
            <w:tcW w:type="dxa" w:w="8000"/>
            <w:tcBorders>
              <w:top w:val="none" w:color="FFFFFF" w:sz="0"/>
              <w:left w:val="none" w:color="FFFFFF" w:sz="0"/>
              <w:bottom w:val="none" w:color="FFFFFF" w:sz="0"/>
              <w:right w:val="none" w:color="FFFFFF" w:sz="0"/>
            </w:tcBorders>
            <w:tcMar>
              <w:top w:type="dxa" w:w="30"/>
              <w:left w:type="dxa" w:w="0"/>
              <w:bottom w:type="dxa" w:w="30"/>
              <w:right w:type="dxa" w:w="0"/>
            </w:tcMar>
          </w:tcPr>
          <w:p>
            <w:pPr>
              <w:bidi/>
              <w:spacing w:after="0" w:line="300"/>
              <w:ind w:start="0"/>
              <w:jc w:val="right"/>
            </w:pPr>
            <w:r>
              <w:rPr>
                <w:rFonts w:ascii="Times New Roman" w:cs="Simplified Arabic" w:hAnsi="Times New Roman"/>
                <w:b/>
                <w:bCs/>
                <w:sz w:val="26"/>
                <w:szCs w:val="26"/>
                <w:rtl/>
              </w:rPr>
              <w:t xml:space="preserve">الجزء العملي: تصميم وحدة تعليمية بأداة Canva</w:t>
            </w:r>
          </w:p>
        </w:tc>
        <w:tc>
          <w:tcPr>
            <w:tcW w:type="dxa" w:w="1072"/>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line="300"/>
              <w:jc w:val="center"/>
            </w:pPr>
            <w:r>
              <w:rPr>
                <w:rFonts w:ascii="Times New Roman" w:cs="Simplified Arabic" w:hAnsi="Times New Roman"/>
                <w:b/>
                <w:bCs/>
                <w:sz w:val="24"/>
                <w:szCs w:val="24"/>
                <w:rtl/>
              </w:rPr>
              <w:t xml:space="preserve">12</w:t>
            </w:r>
          </w:p>
        </w:tc>
      </w:tr>
      <w:tr>
        <w:tc>
          <w:tcPr>
            <w:tcW w:type="dxa" w:w="8000"/>
            <w:tcBorders>
              <w:top w:val="none" w:color="FFFFFF" w:sz="0"/>
              <w:left w:val="none" w:color="FFFFFF" w:sz="0"/>
              <w:bottom w:val="none" w:color="FFFFFF" w:sz="0"/>
              <w:right w:val="none" w:color="FFFFFF" w:sz="0"/>
            </w:tcBorders>
            <w:tcMar>
              <w:top w:type="dxa" w:w="30"/>
              <w:left w:type="dxa" w:w="0"/>
              <w:bottom w:type="dxa" w:w="30"/>
              <w:right w:type="dxa" w:w="0"/>
            </w:tcMar>
          </w:tcPr>
          <w:p>
            <w:pPr>
              <w:bidi/>
              <w:spacing w:after="0" w:line="300"/>
              <w:ind w:start="280"/>
              <w:jc w:val="right"/>
            </w:pPr>
            <w:r>
              <w:rPr>
                <w:rFonts w:ascii="Times New Roman" w:cs="Simplified Arabic" w:hAnsi="Times New Roman"/>
                <w:b w:val="false"/>
                <w:bCs w:val="false"/>
                <w:sz w:val="24"/>
                <w:szCs w:val="24"/>
                <w:rtl/>
              </w:rPr>
              <w:t xml:space="preserve">سياق التنفيذ</w:t>
            </w:r>
          </w:p>
        </w:tc>
        <w:tc>
          <w:tcPr>
            <w:tcW w:type="dxa" w:w="1072"/>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line="300"/>
              <w:jc w:val="center"/>
            </w:pPr>
            <w:r>
              <w:rPr>
                <w:rFonts w:ascii="Times New Roman" w:cs="Simplified Arabic" w:hAnsi="Times New Roman"/>
                <w:b w:val="false"/>
                <w:bCs w:val="false"/>
                <w:sz w:val="24"/>
                <w:szCs w:val="24"/>
                <w:rtl/>
              </w:rPr>
              <w:t xml:space="preserve">12</w:t>
            </w:r>
          </w:p>
        </w:tc>
      </w:tr>
      <w:tr>
        <w:tc>
          <w:tcPr>
            <w:tcW w:type="dxa" w:w="8000"/>
            <w:tcBorders>
              <w:top w:val="none" w:color="FFFFFF" w:sz="0"/>
              <w:left w:val="none" w:color="FFFFFF" w:sz="0"/>
              <w:bottom w:val="none" w:color="FFFFFF" w:sz="0"/>
              <w:right w:val="none" w:color="FFFFFF" w:sz="0"/>
            </w:tcBorders>
            <w:tcMar>
              <w:top w:type="dxa" w:w="30"/>
              <w:left w:type="dxa" w:w="0"/>
              <w:bottom w:type="dxa" w:w="30"/>
              <w:right w:type="dxa" w:w="0"/>
            </w:tcMar>
          </w:tcPr>
          <w:p>
            <w:pPr>
              <w:bidi/>
              <w:spacing w:after="0" w:line="300"/>
              <w:ind w:start="280"/>
              <w:jc w:val="right"/>
            </w:pPr>
            <w:r>
              <w:rPr>
                <w:rFonts w:ascii="Times New Roman" w:cs="Simplified Arabic" w:hAnsi="Times New Roman"/>
                <w:b w:val="false"/>
                <w:bCs w:val="false"/>
                <w:sz w:val="24"/>
                <w:szCs w:val="24"/>
                <w:rtl/>
              </w:rPr>
              <w:t xml:space="preserve">أهداف الوحدة</w:t>
            </w:r>
          </w:p>
        </w:tc>
        <w:tc>
          <w:tcPr>
            <w:tcW w:type="dxa" w:w="1072"/>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line="300"/>
              <w:jc w:val="center"/>
            </w:pPr>
            <w:r>
              <w:rPr>
                <w:rFonts w:ascii="Times New Roman" w:cs="Simplified Arabic" w:hAnsi="Times New Roman"/>
                <w:b w:val="false"/>
                <w:bCs w:val="false"/>
                <w:sz w:val="24"/>
                <w:szCs w:val="24"/>
                <w:rtl/>
              </w:rPr>
              <w:t xml:space="preserve">12</w:t>
            </w:r>
          </w:p>
        </w:tc>
      </w:tr>
      <w:tr>
        <w:tc>
          <w:tcPr>
            <w:tcW w:type="dxa" w:w="8000"/>
            <w:tcBorders>
              <w:top w:val="none" w:color="FFFFFF" w:sz="0"/>
              <w:left w:val="none" w:color="FFFFFF" w:sz="0"/>
              <w:bottom w:val="none" w:color="FFFFFF" w:sz="0"/>
              <w:right w:val="none" w:color="FFFFFF" w:sz="0"/>
            </w:tcBorders>
            <w:tcMar>
              <w:top w:type="dxa" w:w="30"/>
              <w:left w:type="dxa" w:w="0"/>
              <w:bottom w:type="dxa" w:w="30"/>
              <w:right w:type="dxa" w:w="0"/>
            </w:tcMar>
          </w:tcPr>
          <w:p>
            <w:pPr>
              <w:bidi/>
              <w:spacing w:after="0" w:line="300"/>
              <w:ind w:start="280"/>
              <w:jc w:val="right"/>
            </w:pPr>
            <w:r>
              <w:rPr>
                <w:rFonts w:ascii="Times New Roman" w:cs="Simplified Arabic" w:hAnsi="Times New Roman"/>
                <w:b w:val="false"/>
                <w:bCs w:val="false"/>
                <w:sz w:val="24"/>
                <w:szCs w:val="24"/>
                <w:rtl/>
              </w:rPr>
              <w:t xml:space="preserve">منهجية التصميم بمساعدة الذكاء الاصطناعي</w:t>
            </w:r>
          </w:p>
        </w:tc>
        <w:tc>
          <w:tcPr>
            <w:tcW w:type="dxa" w:w="1072"/>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line="300"/>
              <w:jc w:val="center"/>
            </w:pPr>
            <w:r>
              <w:rPr>
                <w:rFonts w:ascii="Times New Roman" w:cs="Simplified Arabic" w:hAnsi="Times New Roman"/>
                <w:b w:val="false"/>
                <w:bCs w:val="false"/>
                <w:sz w:val="24"/>
                <w:szCs w:val="24"/>
                <w:rtl/>
              </w:rPr>
              <w:t xml:space="preserve">12</w:t>
            </w:r>
          </w:p>
        </w:tc>
      </w:tr>
      <w:tr>
        <w:tc>
          <w:tcPr>
            <w:tcW w:type="dxa" w:w="8000"/>
            <w:tcBorders>
              <w:top w:val="none" w:color="FFFFFF" w:sz="0"/>
              <w:left w:val="none" w:color="FFFFFF" w:sz="0"/>
              <w:bottom w:val="none" w:color="FFFFFF" w:sz="0"/>
              <w:right w:val="none" w:color="FFFFFF" w:sz="0"/>
            </w:tcBorders>
            <w:tcMar>
              <w:top w:type="dxa" w:w="30"/>
              <w:left w:type="dxa" w:w="0"/>
              <w:bottom w:type="dxa" w:w="30"/>
              <w:right w:type="dxa" w:w="0"/>
            </w:tcMar>
          </w:tcPr>
          <w:p>
            <w:pPr>
              <w:bidi/>
              <w:spacing w:after="0" w:line="300"/>
              <w:ind w:start="280"/>
              <w:jc w:val="right"/>
            </w:pPr>
            <w:r>
              <w:rPr>
                <w:rFonts w:ascii="Times New Roman" w:cs="Simplified Arabic" w:hAnsi="Times New Roman"/>
                <w:b w:val="false"/>
                <w:bCs w:val="false"/>
                <w:sz w:val="24"/>
                <w:szCs w:val="24"/>
                <w:rtl/>
              </w:rPr>
              <w:t xml:space="preserve">خطة الوحدة</w:t>
            </w:r>
          </w:p>
        </w:tc>
        <w:tc>
          <w:tcPr>
            <w:tcW w:type="dxa" w:w="1072"/>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line="300"/>
              <w:jc w:val="center"/>
            </w:pPr>
            <w:r>
              <w:rPr>
                <w:rFonts w:ascii="Times New Roman" w:cs="Simplified Arabic" w:hAnsi="Times New Roman"/>
                <w:b w:val="false"/>
                <w:bCs w:val="false"/>
                <w:sz w:val="24"/>
                <w:szCs w:val="24"/>
                <w:rtl/>
              </w:rPr>
              <w:t xml:space="preserve">13</w:t>
            </w:r>
          </w:p>
        </w:tc>
      </w:tr>
      <w:tr>
        <w:tc>
          <w:tcPr>
            <w:tcW w:type="dxa" w:w="8000"/>
            <w:tcBorders>
              <w:top w:val="none" w:color="FFFFFF" w:sz="0"/>
              <w:left w:val="none" w:color="FFFFFF" w:sz="0"/>
              <w:bottom w:val="none" w:color="FFFFFF" w:sz="0"/>
              <w:right w:val="none" w:color="FFFFFF" w:sz="0"/>
            </w:tcBorders>
            <w:tcMar>
              <w:top w:type="dxa" w:w="30"/>
              <w:left w:type="dxa" w:w="0"/>
              <w:bottom w:type="dxa" w:w="30"/>
              <w:right w:type="dxa" w:w="0"/>
            </w:tcMar>
          </w:tcPr>
          <w:p>
            <w:pPr>
              <w:bidi/>
              <w:spacing w:after="0" w:line="300"/>
              <w:ind w:start="280"/>
              <w:jc w:val="right"/>
            </w:pPr>
            <w:r>
              <w:rPr>
                <w:rFonts w:ascii="Times New Roman" w:cs="Simplified Arabic" w:hAnsi="Times New Roman"/>
                <w:b w:val="false"/>
                <w:bCs w:val="false"/>
                <w:sz w:val="24"/>
                <w:szCs w:val="24"/>
                <w:rtl/>
              </w:rPr>
              <w:t xml:space="preserve">الدروس بالتفصيل</w:t>
            </w:r>
          </w:p>
        </w:tc>
        <w:tc>
          <w:tcPr>
            <w:tcW w:type="dxa" w:w="1072"/>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line="300"/>
              <w:jc w:val="center"/>
            </w:pPr>
            <w:r>
              <w:rPr>
                <w:rFonts w:ascii="Times New Roman" w:cs="Simplified Arabic" w:hAnsi="Times New Roman"/>
                <w:b w:val="false"/>
                <w:bCs w:val="false"/>
                <w:sz w:val="24"/>
                <w:szCs w:val="24"/>
                <w:rtl/>
              </w:rPr>
              <w:t xml:space="preserve">14</w:t>
            </w:r>
          </w:p>
        </w:tc>
      </w:tr>
      <w:tr>
        <w:tc>
          <w:tcPr>
            <w:tcW w:type="dxa" w:w="8000"/>
            <w:tcBorders>
              <w:top w:val="none" w:color="FFFFFF" w:sz="0"/>
              <w:left w:val="none" w:color="FFFFFF" w:sz="0"/>
              <w:bottom w:val="none" w:color="FFFFFF" w:sz="0"/>
              <w:right w:val="none" w:color="FFFFFF" w:sz="0"/>
            </w:tcBorders>
            <w:tcMar>
              <w:top w:type="dxa" w:w="30"/>
              <w:left w:type="dxa" w:w="0"/>
              <w:bottom w:type="dxa" w:w="30"/>
              <w:right w:type="dxa" w:w="0"/>
            </w:tcMar>
          </w:tcPr>
          <w:p>
            <w:pPr>
              <w:bidi/>
              <w:spacing w:after="0" w:line="300"/>
              <w:ind w:start="560"/>
              <w:jc w:val="right"/>
            </w:pPr>
            <w:r>
              <w:rPr>
                <w:rFonts w:ascii="Times New Roman" w:cs="Simplified Arabic" w:hAnsi="Times New Roman"/>
                <w:b w:val="false"/>
                <w:bCs w:val="false"/>
                <w:sz w:val="24"/>
                <w:szCs w:val="24"/>
                <w:rtl/>
              </w:rPr>
              <w:t xml:space="preserve">الدرس الأول: الجهاز الهضمي</w:t>
            </w:r>
          </w:p>
        </w:tc>
        <w:tc>
          <w:tcPr>
            <w:tcW w:type="dxa" w:w="1072"/>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line="300"/>
              <w:jc w:val="center"/>
            </w:pPr>
            <w:r>
              <w:rPr>
                <w:rFonts w:ascii="Times New Roman" w:cs="Simplified Arabic" w:hAnsi="Times New Roman"/>
                <w:b w:val="false"/>
                <w:bCs w:val="false"/>
                <w:sz w:val="24"/>
                <w:szCs w:val="24"/>
                <w:rtl/>
              </w:rPr>
              <w:t xml:space="preserve">14</w:t>
            </w:r>
          </w:p>
        </w:tc>
      </w:tr>
      <w:tr>
        <w:tc>
          <w:tcPr>
            <w:tcW w:type="dxa" w:w="8000"/>
            <w:tcBorders>
              <w:top w:val="none" w:color="FFFFFF" w:sz="0"/>
              <w:left w:val="none" w:color="FFFFFF" w:sz="0"/>
              <w:bottom w:val="none" w:color="FFFFFF" w:sz="0"/>
              <w:right w:val="none" w:color="FFFFFF" w:sz="0"/>
            </w:tcBorders>
            <w:tcMar>
              <w:top w:type="dxa" w:w="30"/>
              <w:left w:type="dxa" w:w="0"/>
              <w:bottom w:type="dxa" w:w="30"/>
              <w:right w:type="dxa" w:w="0"/>
            </w:tcMar>
          </w:tcPr>
          <w:p>
            <w:pPr>
              <w:bidi/>
              <w:spacing w:after="0" w:line="300"/>
              <w:ind w:start="560"/>
              <w:jc w:val="right"/>
            </w:pPr>
            <w:r>
              <w:rPr>
                <w:rFonts w:ascii="Times New Roman" w:cs="Simplified Arabic" w:hAnsi="Times New Roman"/>
                <w:b w:val="false"/>
                <w:bCs w:val="false"/>
                <w:sz w:val="24"/>
                <w:szCs w:val="24"/>
                <w:rtl/>
              </w:rPr>
              <w:t xml:space="preserve">الدرس الثاني: الجهاز التنفسي</w:t>
            </w:r>
          </w:p>
        </w:tc>
        <w:tc>
          <w:tcPr>
            <w:tcW w:type="dxa" w:w="1072"/>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line="300"/>
              <w:jc w:val="center"/>
            </w:pPr>
            <w:r>
              <w:rPr>
                <w:rFonts w:ascii="Times New Roman" w:cs="Simplified Arabic" w:hAnsi="Times New Roman"/>
                <w:b w:val="false"/>
                <w:bCs w:val="false"/>
                <w:sz w:val="24"/>
                <w:szCs w:val="24"/>
                <w:rtl/>
              </w:rPr>
              <w:t xml:space="preserve">14</w:t>
            </w:r>
          </w:p>
        </w:tc>
      </w:tr>
      <w:tr>
        <w:tc>
          <w:tcPr>
            <w:tcW w:type="dxa" w:w="8000"/>
            <w:tcBorders>
              <w:top w:val="none" w:color="FFFFFF" w:sz="0"/>
              <w:left w:val="none" w:color="FFFFFF" w:sz="0"/>
              <w:bottom w:val="none" w:color="FFFFFF" w:sz="0"/>
              <w:right w:val="none" w:color="FFFFFF" w:sz="0"/>
            </w:tcBorders>
            <w:tcMar>
              <w:top w:type="dxa" w:w="30"/>
              <w:left w:type="dxa" w:w="0"/>
              <w:bottom w:type="dxa" w:w="30"/>
              <w:right w:type="dxa" w:w="0"/>
            </w:tcMar>
          </w:tcPr>
          <w:p>
            <w:pPr>
              <w:bidi/>
              <w:spacing w:after="0" w:line="300"/>
              <w:ind w:start="560"/>
              <w:jc w:val="right"/>
            </w:pPr>
            <w:r>
              <w:rPr>
                <w:rFonts w:ascii="Times New Roman" w:cs="Simplified Arabic" w:hAnsi="Times New Roman"/>
                <w:b w:val="false"/>
                <w:bCs w:val="false"/>
                <w:sz w:val="24"/>
                <w:szCs w:val="24"/>
                <w:rtl/>
              </w:rPr>
              <w:t xml:space="preserve">الدرس الثالث: الجهاز الدوري والبازل الرقمي</w:t>
            </w:r>
          </w:p>
        </w:tc>
        <w:tc>
          <w:tcPr>
            <w:tcW w:type="dxa" w:w="1072"/>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line="300"/>
              <w:jc w:val="center"/>
            </w:pPr>
            <w:r>
              <w:rPr>
                <w:rFonts w:ascii="Times New Roman" w:cs="Simplified Arabic" w:hAnsi="Times New Roman"/>
                <w:b w:val="false"/>
                <w:bCs w:val="false"/>
                <w:sz w:val="24"/>
                <w:szCs w:val="24"/>
                <w:rtl/>
              </w:rPr>
              <w:t xml:space="preserve">14</w:t>
            </w:r>
          </w:p>
        </w:tc>
      </w:tr>
      <w:tr>
        <w:tc>
          <w:tcPr>
            <w:tcW w:type="dxa" w:w="8000"/>
            <w:tcBorders>
              <w:top w:val="none" w:color="FFFFFF" w:sz="0"/>
              <w:left w:val="none" w:color="FFFFFF" w:sz="0"/>
              <w:bottom w:val="none" w:color="FFFFFF" w:sz="0"/>
              <w:right w:val="none" w:color="FFFFFF" w:sz="0"/>
            </w:tcBorders>
            <w:tcMar>
              <w:top w:type="dxa" w:w="30"/>
              <w:left w:type="dxa" w:w="0"/>
              <w:bottom w:type="dxa" w:w="30"/>
              <w:right w:type="dxa" w:w="0"/>
            </w:tcMar>
          </w:tcPr>
          <w:p>
            <w:pPr>
              <w:bidi/>
              <w:spacing w:after="0" w:line="300"/>
              <w:ind w:start="560"/>
              <w:jc w:val="right"/>
            </w:pPr>
            <w:r>
              <w:rPr>
                <w:rFonts w:ascii="Times New Roman" w:cs="Simplified Arabic" w:hAnsi="Times New Roman"/>
                <w:b w:val="false"/>
                <w:bCs w:val="false"/>
                <w:sz w:val="24"/>
                <w:szCs w:val="24"/>
                <w:rtl/>
              </w:rPr>
              <w:t xml:space="preserve">الدرس الرابع: الجهاز الهيكلي والعضلي</w:t>
            </w:r>
          </w:p>
        </w:tc>
        <w:tc>
          <w:tcPr>
            <w:tcW w:type="dxa" w:w="1072"/>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line="300"/>
              <w:jc w:val="center"/>
            </w:pPr>
            <w:r>
              <w:rPr>
                <w:rFonts w:ascii="Times New Roman" w:cs="Simplified Arabic" w:hAnsi="Times New Roman"/>
                <w:b w:val="false"/>
                <w:bCs w:val="false"/>
                <w:sz w:val="24"/>
                <w:szCs w:val="24"/>
                <w:rtl/>
              </w:rPr>
              <w:t xml:space="preserve">15</w:t>
            </w:r>
          </w:p>
        </w:tc>
      </w:tr>
      <w:tr>
        <w:tc>
          <w:tcPr>
            <w:tcW w:type="dxa" w:w="8000"/>
            <w:tcBorders>
              <w:top w:val="none" w:color="FFFFFF" w:sz="0"/>
              <w:left w:val="none" w:color="FFFFFF" w:sz="0"/>
              <w:bottom w:val="none" w:color="FFFFFF" w:sz="0"/>
              <w:right w:val="none" w:color="FFFFFF" w:sz="0"/>
            </w:tcBorders>
            <w:tcMar>
              <w:top w:type="dxa" w:w="30"/>
              <w:left w:type="dxa" w:w="0"/>
              <w:bottom w:type="dxa" w:w="30"/>
              <w:right w:type="dxa" w:w="0"/>
            </w:tcMar>
          </w:tcPr>
          <w:p>
            <w:pPr>
              <w:bidi/>
              <w:spacing w:after="0" w:line="300"/>
              <w:ind w:start="560"/>
              <w:jc w:val="right"/>
            </w:pPr>
            <w:r>
              <w:rPr>
                <w:rFonts w:ascii="Times New Roman" w:cs="Simplified Arabic" w:hAnsi="Times New Roman"/>
                <w:b w:val="false"/>
                <w:bCs w:val="false"/>
                <w:sz w:val="24"/>
                <w:szCs w:val="24"/>
                <w:rtl/>
              </w:rPr>
              <w:t xml:space="preserve">الدرس الخامس: تكامل الأجهزة والتقويم الختامي</w:t>
            </w:r>
          </w:p>
        </w:tc>
        <w:tc>
          <w:tcPr>
            <w:tcW w:type="dxa" w:w="1072"/>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line="300"/>
              <w:jc w:val="center"/>
            </w:pPr>
            <w:r>
              <w:rPr>
                <w:rFonts w:ascii="Times New Roman" w:cs="Simplified Arabic" w:hAnsi="Times New Roman"/>
                <w:b w:val="false"/>
                <w:bCs w:val="false"/>
                <w:sz w:val="24"/>
                <w:szCs w:val="24"/>
                <w:rtl/>
              </w:rPr>
              <w:t xml:space="preserve">15</w:t>
            </w:r>
          </w:p>
        </w:tc>
      </w:tr>
      <w:tr>
        <w:tc>
          <w:tcPr>
            <w:tcW w:type="dxa" w:w="8000"/>
            <w:tcBorders>
              <w:top w:val="none" w:color="FFFFFF" w:sz="0"/>
              <w:left w:val="none" w:color="FFFFFF" w:sz="0"/>
              <w:bottom w:val="none" w:color="FFFFFF" w:sz="0"/>
              <w:right w:val="none" w:color="FFFFFF" w:sz="0"/>
            </w:tcBorders>
            <w:tcMar>
              <w:top w:type="dxa" w:w="30"/>
              <w:left w:type="dxa" w:w="0"/>
              <w:bottom w:type="dxa" w:w="30"/>
              <w:right w:type="dxa" w:w="0"/>
            </w:tcMar>
          </w:tcPr>
          <w:p>
            <w:pPr>
              <w:bidi/>
              <w:spacing w:after="0" w:line="300"/>
              <w:ind w:start="280"/>
              <w:jc w:val="right"/>
            </w:pPr>
            <w:r>
              <w:rPr>
                <w:rFonts w:ascii="Times New Roman" w:cs="Simplified Arabic" w:hAnsi="Times New Roman"/>
                <w:b w:val="false"/>
                <w:bCs w:val="false"/>
                <w:sz w:val="24"/>
                <w:szCs w:val="24"/>
                <w:rtl/>
              </w:rPr>
              <w:t xml:space="preserve">بناء البازل في Canva: الخطوات</w:t>
            </w:r>
          </w:p>
        </w:tc>
        <w:tc>
          <w:tcPr>
            <w:tcW w:type="dxa" w:w="1072"/>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line="300"/>
              <w:jc w:val="center"/>
            </w:pPr>
            <w:r>
              <w:rPr>
                <w:rFonts w:ascii="Times New Roman" w:cs="Simplified Arabic" w:hAnsi="Times New Roman"/>
                <w:b w:val="false"/>
                <w:bCs w:val="false"/>
                <w:sz w:val="24"/>
                <w:szCs w:val="24"/>
                <w:rtl/>
              </w:rPr>
              <w:t xml:space="preserve">15</w:t>
            </w:r>
          </w:p>
        </w:tc>
      </w:tr>
      <w:tr>
        <w:tc>
          <w:tcPr>
            <w:tcW w:type="dxa" w:w="8000"/>
            <w:tcBorders>
              <w:top w:val="none" w:color="FFFFFF" w:sz="0"/>
              <w:left w:val="none" w:color="FFFFFF" w:sz="0"/>
              <w:bottom w:val="none" w:color="FFFFFF" w:sz="0"/>
              <w:right w:val="none" w:color="FFFFFF" w:sz="0"/>
            </w:tcBorders>
            <w:tcMar>
              <w:top w:type="dxa" w:w="30"/>
              <w:left w:type="dxa" w:w="0"/>
              <w:bottom w:type="dxa" w:w="30"/>
              <w:right w:type="dxa" w:w="0"/>
            </w:tcMar>
          </w:tcPr>
          <w:p>
            <w:pPr>
              <w:bidi/>
              <w:spacing w:after="0" w:line="300"/>
              <w:ind w:start="280"/>
              <w:jc w:val="right"/>
            </w:pPr>
            <w:r>
              <w:rPr>
                <w:rFonts w:ascii="Times New Roman" w:cs="Simplified Arabic" w:hAnsi="Times New Roman"/>
                <w:b w:val="false"/>
                <w:bCs w:val="false"/>
                <w:sz w:val="24"/>
                <w:szCs w:val="24"/>
                <w:rtl/>
              </w:rPr>
              <w:t xml:space="preserve">التقويم والتغذية الراجعة</w:t>
            </w:r>
          </w:p>
        </w:tc>
        <w:tc>
          <w:tcPr>
            <w:tcW w:type="dxa" w:w="1072"/>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line="300"/>
              <w:jc w:val="center"/>
            </w:pPr>
            <w:r>
              <w:rPr>
                <w:rFonts w:ascii="Times New Roman" w:cs="Simplified Arabic" w:hAnsi="Times New Roman"/>
                <w:b w:val="false"/>
                <w:bCs w:val="false"/>
                <w:sz w:val="24"/>
                <w:szCs w:val="24"/>
                <w:rtl/>
              </w:rPr>
              <w:t xml:space="preserve">16</w:t>
            </w:r>
          </w:p>
        </w:tc>
      </w:tr>
      <w:tr>
        <w:tc>
          <w:tcPr>
            <w:tcW w:type="dxa" w:w="8000"/>
            <w:tcBorders>
              <w:top w:val="none" w:color="FFFFFF" w:sz="0"/>
              <w:left w:val="none" w:color="FFFFFF" w:sz="0"/>
              <w:bottom w:val="none" w:color="FFFFFF" w:sz="0"/>
              <w:right w:val="none" w:color="FFFFFF" w:sz="0"/>
            </w:tcBorders>
            <w:tcMar>
              <w:top w:type="dxa" w:w="30"/>
              <w:left w:type="dxa" w:w="0"/>
              <w:bottom w:type="dxa" w:w="30"/>
              <w:right w:type="dxa" w:w="0"/>
            </w:tcMar>
          </w:tcPr>
          <w:p>
            <w:pPr>
              <w:bidi/>
              <w:spacing w:after="0" w:line="300"/>
              <w:ind w:start="280"/>
              <w:jc w:val="right"/>
            </w:pPr>
            <w:r>
              <w:rPr>
                <w:rFonts w:ascii="Times New Roman" w:cs="Simplified Arabic" w:hAnsi="Times New Roman"/>
                <w:b w:val="false"/>
                <w:bCs w:val="false"/>
                <w:sz w:val="24"/>
                <w:szCs w:val="24"/>
                <w:rtl/>
              </w:rPr>
              <w:t xml:space="preserve">المراعاة الفارقية</w:t>
            </w:r>
          </w:p>
        </w:tc>
        <w:tc>
          <w:tcPr>
            <w:tcW w:type="dxa" w:w="1072"/>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line="300"/>
              <w:jc w:val="center"/>
            </w:pPr>
            <w:r>
              <w:rPr>
                <w:rFonts w:ascii="Times New Roman" w:cs="Simplified Arabic" w:hAnsi="Times New Roman"/>
                <w:b w:val="false"/>
                <w:bCs w:val="false"/>
                <w:sz w:val="24"/>
                <w:szCs w:val="24"/>
                <w:rtl/>
              </w:rPr>
              <w:t xml:space="preserve">16</w:t>
            </w:r>
          </w:p>
        </w:tc>
      </w:tr>
      <w:tr>
        <w:tc>
          <w:tcPr>
            <w:tcW w:type="dxa" w:w="8000"/>
            <w:tcBorders>
              <w:top w:val="none" w:color="FFFFFF" w:sz="0"/>
              <w:left w:val="none" w:color="FFFFFF" w:sz="0"/>
              <w:bottom w:val="none" w:color="FFFFFF" w:sz="0"/>
              <w:right w:val="none" w:color="FFFFFF" w:sz="0"/>
            </w:tcBorders>
            <w:tcMar>
              <w:top w:type="dxa" w:w="30"/>
              <w:left w:type="dxa" w:w="0"/>
              <w:bottom w:type="dxa" w:w="30"/>
              <w:right w:type="dxa" w:w="0"/>
            </w:tcMar>
          </w:tcPr>
          <w:p>
            <w:pPr>
              <w:bidi/>
              <w:spacing w:after="0" w:line="300"/>
              <w:ind w:start="0"/>
              <w:jc w:val="right"/>
            </w:pPr>
            <w:r>
              <w:rPr>
                <w:rFonts w:ascii="Times New Roman" w:cs="Simplified Arabic" w:hAnsi="Times New Roman"/>
                <w:b/>
                <w:bCs/>
                <w:sz w:val="26"/>
                <w:szCs w:val="26"/>
                <w:rtl/>
              </w:rPr>
              <w:t xml:space="preserve">المناقشة</w:t>
            </w:r>
          </w:p>
        </w:tc>
        <w:tc>
          <w:tcPr>
            <w:tcW w:type="dxa" w:w="1072"/>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line="300"/>
              <w:jc w:val="center"/>
            </w:pPr>
            <w:r>
              <w:rPr>
                <w:rFonts w:ascii="Times New Roman" w:cs="Simplified Arabic" w:hAnsi="Times New Roman"/>
                <w:b/>
                <w:bCs/>
                <w:sz w:val="24"/>
                <w:szCs w:val="24"/>
                <w:rtl/>
              </w:rPr>
              <w:t xml:space="preserve">18</w:t>
            </w:r>
          </w:p>
        </w:tc>
      </w:tr>
      <w:tr>
        <w:tc>
          <w:tcPr>
            <w:tcW w:type="dxa" w:w="8000"/>
            <w:tcBorders>
              <w:top w:val="none" w:color="FFFFFF" w:sz="0"/>
              <w:left w:val="none" w:color="FFFFFF" w:sz="0"/>
              <w:bottom w:val="none" w:color="FFFFFF" w:sz="0"/>
              <w:right w:val="none" w:color="FFFFFF" w:sz="0"/>
            </w:tcBorders>
            <w:tcMar>
              <w:top w:type="dxa" w:w="30"/>
              <w:left w:type="dxa" w:w="0"/>
              <w:bottom w:type="dxa" w:w="30"/>
              <w:right w:type="dxa" w:w="0"/>
            </w:tcMar>
          </w:tcPr>
          <w:p>
            <w:pPr>
              <w:bidi/>
              <w:spacing w:after="0" w:line="300"/>
              <w:ind w:start="0"/>
              <w:jc w:val="right"/>
            </w:pPr>
            <w:r>
              <w:rPr>
                <w:rFonts w:ascii="Times New Roman" w:cs="Simplified Arabic" w:hAnsi="Times New Roman"/>
                <w:b/>
                <w:bCs/>
                <w:sz w:val="26"/>
                <w:szCs w:val="26"/>
                <w:rtl/>
              </w:rPr>
              <w:t xml:space="preserve">الخلاصة والتوصيات التطبيقية</w:t>
            </w:r>
          </w:p>
        </w:tc>
        <w:tc>
          <w:tcPr>
            <w:tcW w:type="dxa" w:w="1072"/>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line="300"/>
              <w:jc w:val="center"/>
            </w:pPr>
            <w:r>
              <w:rPr>
                <w:rFonts w:ascii="Times New Roman" w:cs="Simplified Arabic" w:hAnsi="Times New Roman"/>
                <w:b/>
                <w:bCs/>
                <w:sz w:val="24"/>
                <w:szCs w:val="24"/>
                <w:rtl/>
              </w:rPr>
              <w:t xml:space="preserve">20</w:t>
            </w:r>
          </w:p>
        </w:tc>
      </w:tr>
      <w:tr>
        <w:tc>
          <w:tcPr>
            <w:tcW w:type="dxa" w:w="8000"/>
            <w:tcBorders>
              <w:top w:val="none" w:color="FFFFFF" w:sz="0"/>
              <w:left w:val="none" w:color="FFFFFF" w:sz="0"/>
              <w:bottom w:val="none" w:color="FFFFFF" w:sz="0"/>
              <w:right w:val="none" w:color="FFFFFF" w:sz="0"/>
            </w:tcBorders>
            <w:tcMar>
              <w:top w:type="dxa" w:w="30"/>
              <w:left w:type="dxa" w:w="0"/>
              <w:bottom w:type="dxa" w:w="30"/>
              <w:right w:type="dxa" w:w="0"/>
            </w:tcMar>
          </w:tcPr>
          <w:p>
            <w:pPr>
              <w:bidi/>
              <w:spacing w:after="0" w:line="300"/>
              <w:ind w:start="0"/>
              <w:jc w:val="right"/>
            </w:pPr>
            <w:r>
              <w:rPr>
                <w:rFonts w:ascii="Times New Roman" w:cs="Simplified Arabic" w:hAnsi="Times New Roman"/>
                <w:b/>
                <w:bCs/>
                <w:sz w:val="26"/>
                <w:szCs w:val="26"/>
                <w:rtl/>
              </w:rPr>
              <w:t xml:space="preserve">رفلكسيا</w:t>
            </w:r>
          </w:p>
        </w:tc>
        <w:tc>
          <w:tcPr>
            <w:tcW w:type="dxa" w:w="1072"/>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line="300"/>
              <w:jc w:val="center"/>
            </w:pPr>
            <w:r>
              <w:rPr>
                <w:rFonts w:ascii="Times New Roman" w:cs="Simplified Arabic" w:hAnsi="Times New Roman"/>
                <w:b/>
                <w:bCs/>
                <w:sz w:val="24"/>
                <w:szCs w:val="24"/>
                <w:rtl/>
              </w:rPr>
              <w:t xml:space="preserve">22</w:t>
            </w:r>
          </w:p>
        </w:tc>
      </w:tr>
      <w:tr>
        <w:tc>
          <w:tcPr>
            <w:tcW w:type="dxa" w:w="8000"/>
            <w:tcBorders>
              <w:top w:val="none" w:color="FFFFFF" w:sz="0"/>
              <w:left w:val="none" w:color="FFFFFF" w:sz="0"/>
              <w:bottom w:val="none" w:color="FFFFFF" w:sz="0"/>
              <w:right w:val="none" w:color="FFFFFF" w:sz="0"/>
            </w:tcBorders>
            <w:tcMar>
              <w:top w:type="dxa" w:w="30"/>
              <w:left w:type="dxa" w:w="0"/>
              <w:bottom w:type="dxa" w:w="30"/>
              <w:right w:type="dxa" w:w="0"/>
            </w:tcMar>
          </w:tcPr>
          <w:p>
            <w:pPr>
              <w:bidi/>
              <w:spacing w:after="0" w:line="300"/>
              <w:ind w:start="0"/>
              <w:jc w:val="right"/>
            </w:pPr>
            <w:r>
              <w:rPr>
                <w:rFonts w:ascii="Times New Roman" w:cs="Simplified Arabic" w:hAnsi="Times New Roman"/>
                <w:b/>
                <w:bCs/>
                <w:sz w:val="26"/>
                <w:szCs w:val="26"/>
                <w:rtl/>
              </w:rPr>
              <w:t xml:space="preserve">قائمة المراجع</w:t>
            </w:r>
          </w:p>
        </w:tc>
        <w:tc>
          <w:tcPr>
            <w:tcW w:type="dxa" w:w="1072"/>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line="300"/>
              <w:jc w:val="center"/>
            </w:pPr>
            <w:r>
              <w:rPr>
                <w:rFonts w:ascii="Times New Roman" w:cs="Simplified Arabic" w:hAnsi="Times New Roman"/>
                <w:b/>
                <w:bCs/>
                <w:sz w:val="24"/>
                <w:szCs w:val="24"/>
                <w:rtl/>
              </w:rPr>
              <w:t xml:space="preserve">23</w:t>
            </w:r>
          </w:p>
        </w:tc>
      </w:tr>
      <w:tr>
        <w:tc>
          <w:tcPr>
            <w:tcW w:type="dxa" w:w="8000"/>
            <w:tcBorders>
              <w:top w:val="none" w:color="FFFFFF" w:sz="0"/>
              <w:left w:val="none" w:color="FFFFFF" w:sz="0"/>
              <w:bottom w:val="none" w:color="FFFFFF" w:sz="0"/>
              <w:right w:val="none" w:color="FFFFFF" w:sz="0"/>
            </w:tcBorders>
            <w:tcMar>
              <w:top w:type="dxa" w:w="30"/>
              <w:left w:type="dxa" w:w="0"/>
              <w:bottom w:type="dxa" w:w="30"/>
              <w:right w:type="dxa" w:w="0"/>
            </w:tcMar>
          </w:tcPr>
          <w:p>
            <w:pPr>
              <w:bidi/>
              <w:spacing w:after="0" w:line="300"/>
              <w:ind w:start="0"/>
              <w:jc w:val="right"/>
            </w:pPr>
            <w:r>
              <w:rPr>
                <w:rFonts w:ascii="Times New Roman" w:cs="Simplified Arabic" w:hAnsi="Times New Roman"/>
                <w:b/>
                <w:bCs/>
                <w:sz w:val="26"/>
                <w:szCs w:val="26"/>
                <w:rtl/>
              </w:rPr>
              <w:t xml:space="preserve">ملحق أ: المطالبات المستخدمة في الأدوات التوليدية</w:t>
            </w:r>
          </w:p>
        </w:tc>
        <w:tc>
          <w:tcPr>
            <w:tcW w:type="dxa" w:w="1072"/>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line="300"/>
              <w:jc w:val="center"/>
            </w:pPr>
            <w:r>
              <w:rPr>
                <w:rFonts w:ascii="Times New Roman" w:cs="Simplified Arabic" w:hAnsi="Times New Roman"/>
                <w:b/>
                <w:bCs/>
                <w:sz w:val="24"/>
                <w:szCs w:val="24"/>
                <w:rtl/>
              </w:rPr>
              <w:t xml:space="preserve">26</w:t>
            </w:r>
          </w:p>
        </w:tc>
      </w:tr>
      <w:tr>
        <w:tc>
          <w:tcPr>
            <w:tcW w:type="dxa" w:w="8000"/>
            <w:tcBorders>
              <w:top w:val="none" w:color="FFFFFF" w:sz="0"/>
              <w:left w:val="none" w:color="FFFFFF" w:sz="0"/>
              <w:bottom w:val="none" w:color="FFFFFF" w:sz="0"/>
              <w:right w:val="none" w:color="FFFFFF" w:sz="0"/>
            </w:tcBorders>
            <w:tcMar>
              <w:top w:type="dxa" w:w="30"/>
              <w:left w:type="dxa" w:w="0"/>
              <w:bottom w:type="dxa" w:w="30"/>
              <w:right w:type="dxa" w:w="0"/>
            </w:tcMar>
          </w:tcPr>
          <w:p>
            <w:pPr>
              <w:bidi/>
              <w:spacing w:after="0" w:line="300"/>
              <w:ind w:start="0"/>
              <w:jc w:val="right"/>
            </w:pPr>
            <w:r>
              <w:rPr>
                <w:rFonts w:ascii="Times New Roman" w:cs="Simplified Arabic" w:hAnsi="Times New Roman"/>
                <w:b/>
                <w:bCs/>
                <w:sz w:val="26"/>
                <w:szCs w:val="26"/>
                <w:rtl/>
              </w:rPr>
              <w:t xml:space="preserve">ملحق ب: سلّم تقدير نشاط البازل</w:t>
            </w:r>
          </w:p>
        </w:tc>
        <w:tc>
          <w:tcPr>
            <w:tcW w:type="dxa" w:w="1072"/>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line="300"/>
              <w:jc w:val="center"/>
            </w:pPr>
            <w:r>
              <w:rPr>
                <w:rFonts w:ascii="Times New Roman" w:cs="Simplified Arabic" w:hAnsi="Times New Roman"/>
                <w:b/>
                <w:bCs/>
                <w:sz w:val="24"/>
                <w:szCs w:val="24"/>
                <w:rtl/>
              </w:rPr>
              <w:t xml:space="preserve">27</w:t>
            </w:r>
          </w:p>
        </w:tc>
      </w:tr>
      <w:tr>
        <w:tc>
          <w:tcPr>
            <w:tcW w:type="dxa" w:w="8000"/>
            <w:tcBorders>
              <w:top w:val="none" w:color="FFFFFF" w:sz="0"/>
              <w:left w:val="none" w:color="FFFFFF" w:sz="0"/>
              <w:bottom w:val="none" w:color="FFFFFF" w:sz="0"/>
              <w:right w:val="none" w:color="FFFFFF" w:sz="0"/>
            </w:tcBorders>
            <w:tcMar>
              <w:top w:type="dxa" w:w="30"/>
              <w:left w:type="dxa" w:w="0"/>
              <w:bottom w:type="dxa" w:w="30"/>
              <w:right w:type="dxa" w:w="0"/>
            </w:tcMar>
          </w:tcPr>
          <w:p>
            <w:pPr>
              <w:bidi/>
              <w:spacing w:after="0" w:line="300"/>
              <w:ind w:start="0"/>
              <w:jc w:val="right"/>
            </w:pPr>
            <w:r>
              <w:rPr>
                <w:rFonts w:ascii="Times New Roman" w:cs="Simplified Arabic" w:hAnsi="Times New Roman"/>
                <w:b/>
                <w:bCs/>
                <w:sz w:val="26"/>
                <w:szCs w:val="26"/>
                <w:rtl/>
              </w:rPr>
              <w:t xml:space="preserve">ملحق ج: استمارة تغذية راجعة للتلاميذ</w:t>
            </w:r>
          </w:p>
        </w:tc>
        <w:tc>
          <w:tcPr>
            <w:tcW w:type="dxa" w:w="1072"/>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line="300"/>
              <w:jc w:val="center"/>
            </w:pPr>
            <w:r>
              <w:rPr>
                <w:rFonts w:ascii="Times New Roman" w:cs="Simplified Arabic" w:hAnsi="Times New Roman"/>
                <w:b/>
                <w:bCs/>
                <w:sz w:val="24"/>
                <w:szCs w:val="24"/>
                <w:rtl/>
              </w:rPr>
              <w:t xml:space="preserve">28</w:t>
            </w:r>
          </w:p>
        </w:tc>
      </w:tr>
      <w:tr>
        <w:tc>
          <w:tcPr>
            <w:tcW w:type="dxa" w:w="8000"/>
            <w:tcBorders>
              <w:top w:val="none" w:color="FFFFFF" w:sz="0"/>
              <w:left w:val="none" w:color="FFFFFF" w:sz="0"/>
              <w:bottom w:val="none" w:color="FFFFFF" w:sz="0"/>
              <w:right w:val="none" w:color="FFFFFF" w:sz="0"/>
            </w:tcBorders>
            <w:tcMar>
              <w:top w:type="dxa" w:w="30"/>
              <w:left w:type="dxa" w:w="0"/>
              <w:bottom w:type="dxa" w:w="30"/>
              <w:right w:type="dxa" w:w="0"/>
            </w:tcMar>
          </w:tcPr>
          <w:p>
            <w:pPr>
              <w:bidi/>
              <w:spacing w:after="0" w:line="300"/>
              <w:ind w:start="0"/>
              <w:jc w:val="right"/>
            </w:pPr>
            <w:r>
              <w:rPr>
                <w:rFonts w:ascii="Times New Roman" w:cs="Simplified Arabic" w:hAnsi="Times New Roman"/>
                <w:b/>
                <w:bCs/>
                <w:sz w:val="26"/>
                <w:szCs w:val="26"/>
                <w:rtl/>
              </w:rPr>
              <w:t xml:space="preserve">إقرار استخدام أدوات الذكاء الاصطناعي</w:t>
            </w:r>
          </w:p>
        </w:tc>
        <w:tc>
          <w:tcPr>
            <w:tcW w:type="dxa" w:w="1072"/>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line="300"/>
              <w:jc w:val="center"/>
            </w:pPr>
            <w:r>
              <w:rPr>
                <w:rFonts w:ascii="Times New Roman" w:cs="Simplified Arabic" w:hAnsi="Times New Roman"/>
                <w:b/>
                <w:bCs/>
                <w:sz w:val="24"/>
                <w:szCs w:val="24"/>
                <w:rtl/>
              </w:rPr>
              <w:t xml:space="preserve">29</w:t>
            </w:r>
          </w:p>
        </w:tc>
      </w:tr>
    </w:tbl>
    <w:p>
      <w:pPr>
        <w:pStyle w:val="Heading1"/>
        <w:pageBreakBefore/>
        <w:bidi/>
        <w:spacing w:after="200" w:before="0" w:line="480"/>
        <w:jc w:val="right"/>
      </w:pPr>
      <w:r>
        <w:rPr>
          <w:rFonts w:ascii="Times New Roman" w:cs="Simplified Arabic" w:hAnsi="Times New Roman"/>
          <w:b/>
          <w:bCs/>
          <w:color w:val="000000"/>
          <w:sz w:val="32"/>
          <w:szCs w:val="32"/>
          <w:rtl/>
        </w:rPr>
        <w:t xml:space="preserve">ملخّص</w:t>
      </w:r>
    </w:p>
    <w:p>
      <w:pPr>
        <w:bidi/>
        <w:spacing w:after="0" w:line="480"/>
        <w:ind w:firstLine="709"/>
        <w:jc w:val="both"/>
      </w:pPr>
      <w:r>
        <w:rPr>
          <w:rFonts w:ascii="Times New Roman" w:cs="Simplified Arabic" w:hAnsi="Times New Roman"/>
          <w:sz w:val="28"/>
          <w:szCs w:val="28"/>
          <w:rtl/>
        </w:rPr>
        <w:t xml:space="preserve">يتناول هذا العمل دمج الذكاء الاصطناعي في التعليم على مستويين: مستوى نظري يعرض ما توصّل إليه البحث التربوي حول توظيف هذه التقنيات في التخطيط والتنفيذ والتقويم، ومستوى عملي يترجم هذا العرض إلى وحدة تعليمية مبنية بالكامل بمساعدة أداة واحدة هي Canva. الوحدة المختارة هي "أجهزة جسم الإنسان" لتلاميذ الصف الخامس، وهي مكوّنة من خمسة دروس، ويشكّل بازل رقمي ومطبوع بُني في Canva محورَ النشاط في أحد الدروس وأداةَ تقويم في الدرس الأخير.</w:t>
      </w:r>
    </w:p>
    <w:p>
      <w:pPr>
        <w:bidi/>
        <w:spacing w:after="0" w:line="480"/>
        <w:ind w:firstLine="709"/>
        <w:jc w:val="both"/>
      </w:pPr>
      <w:r>
        <w:rPr>
          <w:rFonts w:ascii="Times New Roman" w:cs="Simplified Arabic" w:hAnsi="Times New Roman"/>
          <w:sz w:val="28"/>
          <w:szCs w:val="28"/>
          <w:rtl/>
        </w:rPr>
        <w:t xml:space="preserve">يقوم العمل على تمييز مركزي بين استخدام الأداة وبين دمجها. الاستخدام يعني الاستعانة بالتقنية لإنتاج مادة كانت ستُنتَج على أي حال، والدمج يعني إعادة التفكير في تسلسل الدرس وفي أدوار التلاميذ وفي أسلوب التقويم بحيث تصبح الأداة جزءًا من البنية البيداغوجية. يظهر من عرض الأدبيات أنّ معظم ما يجري في الميدان أقرب إلى الاستخدام، وأنّ الفجوة ليست في توافر الأدوات بل في الكفايات التي تسمح بدمجها. يُختم العمل بتوصيات تطبيقية مباشرة وبفصل رفلكسي.</w:t>
      </w:r>
    </w:p>
    <w:p>
      <w:pPr>
        <w:pStyle w:val="Heading1"/>
        <w:pageBreakBefore/>
        <w:bidi/>
        <w:spacing w:after="200" w:before="0" w:line="480"/>
        <w:jc w:val="right"/>
      </w:pPr>
      <w:r>
        <w:rPr>
          <w:rFonts w:ascii="Times New Roman" w:cs="Simplified Arabic" w:hAnsi="Times New Roman"/>
          <w:b/>
          <w:bCs/>
          <w:color w:val="000000"/>
          <w:sz w:val="32"/>
          <w:szCs w:val="32"/>
          <w:rtl/>
        </w:rPr>
        <w:t xml:space="preserve">المقدمة</w:t>
      </w:r>
    </w:p>
    <w:p>
      <w:pPr>
        <w:bidi/>
        <w:spacing w:after="0" w:line="480"/>
        <w:ind w:firstLine="709"/>
        <w:jc w:val="both"/>
      </w:pPr>
      <w:r>
        <w:rPr>
          <w:rFonts w:ascii="Times New Roman" w:cs="Simplified Arabic" w:hAnsi="Times New Roman"/>
          <w:sz w:val="28"/>
          <w:szCs w:val="28"/>
          <w:rtl/>
        </w:rPr>
        <w:t xml:space="preserve">وصل الذكاء الاصطناعي إلى غرفة الصف قبل أن تُكمل المنظومات التربوية استعدادها له. معلمون يولّدون أوراق عمل وامتحانات في دقائق، تلاميذ يستعينون بالنماذج التوليدية في الوظائف البيتية، وإدارات مدرسية تكتشف الظاهرة بعد أن تكون قد استقرّت. الوثيقة التي أصدرتها اليونسكو بشأن الذكاء الاصطناعي التوليدي تصف هذا الوضع بوضوح، وتوصي بأن تسبق السياسةُ الاستخدامَ لا أن تلاحقه (اليونسكو، 2023).</w:t>
      </w:r>
    </w:p>
    <w:p>
      <w:pPr>
        <w:bidi/>
        <w:spacing w:after="0" w:line="480"/>
        <w:ind w:firstLine="709"/>
        <w:jc w:val="both"/>
      </w:pPr>
      <w:r>
        <w:rPr>
          <w:rFonts w:ascii="Times New Roman" w:cs="Simplified Arabic" w:hAnsi="Times New Roman"/>
          <w:sz w:val="28"/>
          <w:szCs w:val="28"/>
          <w:rtl/>
        </w:rPr>
        <w:t xml:space="preserve">الفجوة هنا ليست تقنية. الأدوات متاحة، وكثير منها مجاني للمعلمين، وواجهاتها لا تتطلّب خبرة برمجية. المسح المنهجي الواسع الذي أجراه زاواكي-ريختر وآخرون على البحوث في هذا المجال انتهى إلى ملاحظة لافتة: المعلّمون غائبون تقريبًا عن هذه البحوث، إذ تتمحور معظمها حول الأنظمة والخوارزميات وحول المتعلّم كمستخدم، لا حول من يخطّط الدرس ويقف فيه (Zawacki-Richter et al., 2019). التقرير الذي أعدّه مركز البحث والمعلومات في الكنيست عن إدخال الذكاء الاصطناعي إلى جهاز التربية وصل إلى صورة قريبة: الأدوات تسبق التأهيل، والفجوات الأساسية ليست في توافر التقنية بل في إعداد المعلّمين وفي البنية التحتية المتفاوتة بين المدارس (מרכז המחקר והמידע של הכנסת، 2024).</w:t>
      </w:r>
    </w:p>
    <w:p>
      <w:pPr>
        <w:bidi/>
        <w:spacing w:after="0" w:line="480"/>
        <w:ind w:firstLine="709"/>
        <w:jc w:val="both"/>
      </w:pPr>
      <w:r>
        <w:rPr>
          <w:rFonts w:ascii="Times New Roman" w:cs="Simplified Arabic" w:hAnsi="Times New Roman"/>
          <w:sz w:val="28"/>
          <w:szCs w:val="28"/>
          <w:rtl/>
        </w:rPr>
        <w:t xml:space="preserve">وفي البلاد تحديدًا تحرّكت السياسة بسرعة غير معهودة. أصدرت وزارة التربية والتعليم توجيهات رسمية لاستخدام أدوات الذكاء الاصطناعي التوليدي في جهاز التربية، تحدّد ما يُسمح به في كلّ مرحلة عمرية وتقيّد استخدام التلاميذ الصغار بوساطة المعلّم (משרד החינוך، 2023). ومع ذلك يشير تقرير الكنيست إلى أنّ الفجوة بين السياسة والتطبيق ما زالت واسعة: قسم كبير من المعلّمين لم يتلقَّ تأهيلًا منهجيًّا، والبنية التحتية متفاوتة، والفجوة الرقمية بين الوسطين التعليميين قائمة (מרכז המחקר והמידע של הכנסת، 2024). وفي المقابل تُظهر دراسات ميدانية محلية أنّ من جرّب هذه الأدوات من المعلّمين وجد فيها رافعة فعلية لتغيير التخطيط والتدريس (לוי-נדב ואחרים، 2024).</w:t>
      </w:r>
    </w:p>
    <w:p>
      <w:pPr>
        <w:bidi/>
        <w:spacing w:after="0" w:line="480"/>
        <w:ind w:firstLine="709"/>
        <w:jc w:val="both"/>
      </w:pPr>
      <w:r>
        <w:rPr>
          <w:rFonts w:ascii="Times New Roman" w:cs="Simplified Arabic" w:hAnsi="Times New Roman"/>
          <w:sz w:val="28"/>
          <w:szCs w:val="28"/>
          <w:rtl/>
        </w:rPr>
        <w:t xml:space="preserve">هذا العمل ينطلق من تمييز يُقترح أن يكون محورًا للنقاش: الفرق بين استخدام الأداة وبين دمجها. المعلّمة التي تطلب من نموذج توليدي أن يكتب لها عشرين سؤالًا عن الجهاز الهضمي تستخدم الأداة، ولا يتغيّر شيء في بنية درسها. والمعلّمة التي تبني بازلًا رقميًا لأجهزة الجسم، وتحوّل الدرس من شرح إلى تركيب جماعي، وتستخدم أخطاء التركيب مؤشرًا تشخيصيًا لسوء الفهم، تدمج الأداة. الفرق ليس في حجم التقنية بل في موقعها من التصميم.</w:t>
      </w:r>
    </w:p>
    <w:p>
      <w:pPr>
        <w:bidi/>
        <w:spacing w:after="0" w:line="480"/>
        <w:ind w:firstLine="709"/>
        <w:jc w:val="both"/>
      </w:pPr>
      <w:r>
        <w:rPr>
          <w:rFonts w:ascii="Times New Roman" w:cs="Simplified Arabic" w:hAnsi="Times New Roman"/>
          <w:sz w:val="28"/>
          <w:szCs w:val="28"/>
          <w:rtl/>
        </w:rPr>
        <w:t xml:space="preserve">انطلاقًا من ذلك، يسعى العمل إلى الإجابة عن ثلاثة أسئلة. ما الذي يعرضه الأدب التربوي حول فرص دمج الذكاء الاصطناعي في التعليم وحدوده؟ كيف يمكن ترجمة هذا العرض إلى وحدة تعليمية متكاملة في العلوم للصف الخامس بأداة واحدة؟ وما الذي يتكشّف عند التنفيذ الفعلي، خاصة في ما يتعلّق بحدود الأداة ودقّة مخرجاتها العلمية؟</w:t>
      </w:r>
    </w:p>
    <w:p>
      <w:pPr>
        <w:bidi/>
        <w:spacing w:after="0" w:line="480"/>
        <w:ind w:firstLine="709"/>
        <w:jc w:val="both"/>
      </w:pPr>
      <w:r>
        <w:rPr>
          <w:rFonts w:ascii="Times New Roman" w:cs="Simplified Arabic" w:hAnsi="Times New Roman"/>
          <w:sz w:val="28"/>
          <w:szCs w:val="28"/>
          <w:rtl/>
        </w:rPr>
        <w:t xml:space="preserve">يتوزّع العمل على قسمين. القسم النظري يعرض مفهوم الذكاء الاصطناعي وتقنياته المركزية، ثم مجالات دمجه في العمل التربوي والفرص والقيود المرصودة، ثم كفايات المعلّم والمعوقات والأخلاقيات، وينتهي بعرض أداة Canva. القسم العملي يعرض تصميم وحدة "أجهزة جسم الإنسان" للصف الخامس، ويفصّل الدروس الخمسة وبناء البازل وأساليب التقويم، ثم يناقش ما تحقّق وما تعثّر. يُختم العمل بخلاصة تطبيقية وبفصل رفلكسي.</w:t>
      </w:r>
    </w:p>
    <w:p>
      <w:pPr>
        <w:pStyle w:val="Heading1"/>
        <w:pageBreakBefore/>
        <w:bidi/>
        <w:spacing w:after="200" w:before="0" w:line="480"/>
        <w:jc w:val="right"/>
      </w:pPr>
      <w:r>
        <w:rPr>
          <w:rFonts w:ascii="Times New Roman" w:cs="Simplified Arabic" w:hAnsi="Times New Roman"/>
          <w:b/>
          <w:bCs/>
          <w:color w:val="000000"/>
          <w:sz w:val="32"/>
          <w:szCs w:val="32"/>
          <w:rtl/>
        </w:rPr>
        <w:t xml:space="preserve">الإطار النظري</w:t>
      </w:r>
    </w:p>
    <w:p>
      <w:pPr>
        <w:pStyle w:val="Heading2"/>
        <w:bidi/>
        <w:spacing w:after="200" w:before="320" w:line="480"/>
        <w:jc w:val="right"/>
      </w:pPr>
      <w:r>
        <w:rPr>
          <w:rFonts w:ascii="Times New Roman" w:cs="Simplified Arabic" w:hAnsi="Times New Roman"/>
          <w:b/>
          <w:bCs/>
          <w:color w:val="000000"/>
          <w:sz w:val="29"/>
          <w:szCs w:val="29"/>
          <w:rtl/>
        </w:rPr>
        <w:t xml:space="preserve">مفهوم الذكاء الاصطناعي وتطوّره</w:t>
      </w:r>
    </w:p>
    <w:p>
      <w:pPr>
        <w:bidi/>
        <w:spacing w:after="0" w:line="480"/>
        <w:ind w:firstLine="709"/>
        <w:jc w:val="both"/>
      </w:pPr>
      <w:r>
        <w:rPr>
          <w:rFonts w:ascii="Times New Roman" w:cs="Simplified Arabic" w:hAnsi="Times New Roman"/>
          <w:sz w:val="28"/>
          <w:szCs w:val="28"/>
          <w:rtl/>
        </w:rPr>
        <w:t xml:space="preserve">الذكاء الاصطناعي، في تعريفه التربوي الأكثر تداولًا، هو قدرة أنظمة حاسوبية على أداء مهامّ تُنسَب عادةً إلى الذكاء البشري، مثل التعرّف على أنماط، وفهم اللغة، واتخاذ قرارات في ظروف غير مكتملة المعلومات. وثيقة اليونسكو الموجّهة لواضعي السياسات تشدّد على أنّ التعريف ليس مسألة أكاديمية، لأنّ الطريقة التي تُعرَّف بها التقنية تحدّد ما يُتوقَّع منها وما تُحاسَب عليه (اليونسكو، 2021).</w:t>
      </w:r>
    </w:p>
    <w:p>
      <w:pPr>
        <w:bidi/>
        <w:spacing w:after="0" w:line="480"/>
        <w:ind w:firstLine="709"/>
        <w:jc w:val="both"/>
      </w:pPr>
      <w:r>
        <w:rPr>
          <w:rFonts w:ascii="Times New Roman" w:cs="Simplified Arabic" w:hAnsi="Times New Roman"/>
          <w:sz w:val="28"/>
          <w:szCs w:val="28"/>
          <w:rtl/>
        </w:rPr>
        <w:t xml:space="preserve">تطوّر هذا الحقل عبر انتقالات متتالية. البداية كانت أنظمة قواعد صريحة يكتبها الإنسان، وهي أنظمة دقيقة داخل حدودها وعاجزة خارجها. ثم جاء تعلّم الآلة، حيث يستخرج النظام القواعد من البيانات بدلًا من أن تُملى عليه. ثم جاءت النماذج التوليدية القادرة على إنتاج نصوص وصور تبدو أصيلة. هذا الانتقال الأخير هو ما نقل الذكاء الاصطناعي من نطاق المختبر إلى نطاق الاستخدام اليومي في المدرسة، لأنّه أزال الحاجة إلى الوسيط التقني بين المعلّم والأداة (Kasneci et al., 2023).</w:t>
      </w:r>
    </w:p>
    <w:p>
      <w:pPr>
        <w:pStyle w:val="Heading2"/>
        <w:bidi/>
        <w:spacing w:after="200" w:before="320" w:line="480"/>
        <w:jc w:val="right"/>
      </w:pPr>
      <w:r>
        <w:rPr>
          <w:rFonts w:ascii="Times New Roman" w:cs="Simplified Arabic" w:hAnsi="Times New Roman"/>
          <w:b/>
          <w:bCs/>
          <w:color w:val="000000"/>
          <w:sz w:val="29"/>
          <w:szCs w:val="29"/>
          <w:rtl/>
        </w:rPr>
        <w:t xml:space="preserve">التقنيات المركزية ودلالتها التربوية</w:t>
      </w:r>
    </w:p>
    <w:p>
      <w:pPr>
        <w:bidi/>
        <w:spacing w:after="0" w:line="480"/>
        <w:ind w:firstLine="709"/>
        <w:jc w:val="both"/>
      </w:pPr>
      <w:r>
        <w:rPr>
          <w:rFonts w:ascii="Times New Roman" w:cs="Simplified Arabic" w:hAnsi="Times New Roman"/>
          <w:sz w:val="28"/>
          <w:szCs w:val="28"/>
          <w:rtl/>
        </w:rPr>
        <w:t xml:space="preserve">ثلاث تقنيات هي الأكثر حضورًا في السياق التعليمي. أوّلها تعلّم الآلة، وهو ما يقوم عليه التكيّف مع مستوى المتعلّم في المنظومات التعليمية الذكية: يقيس النظام أداء التلميذ ويعدّل مسار المهامّ بناءً عليه. ثانيها معالجة اللغة الطبيعية، وهي ما يسمح بالتصحيح الآلي وبالحوار مع المتعلّم بلغته. ثالثها النماذج التوليدية، التي تنتج محتوى جديدًا: نصًّا وصورةً وعرضًا وأسئلة تقويم (اليونسكو، 2021).</w:t>
      </w:r>
    </w:p>
    <w:p>
      <w:pPr>
        <w:bidi/>
        <w:spacing w:after="0" w:line="480"/>
        <w:ind w:firstLine="709"/>
        <w:jc w:val="both"/>
      </w:pPr>
      <w:r>
        <w:rPr>
          <w:rFonts w:ascii="Times New Roman" w:cs="Simplified Arabic" w:hAnsi="Times New Roman"/>
          <w:sz w:val="28"/>
          <w:szCs w:val="28"/>
          <w:rtl/>
        </w:rPr>
        <w:t xml:space="preserve">الدلالة التربوية لهذه التقنيات ليست في أنّها تسرّع العمل. السرعة نتيجة جانبية. الدلالة أنّها تنقل جزءًا من العمل الذي كان يستهلك وقت المعلّم إلى الآلة، فيتحرّر وقت يمكن إعادة استثماره. السؤال الذي لا تجيب عنه التقنية هو: في ماذا يُستثمر هذا الوقت؟ تقرير الكنيست يشير إلى النتيجة نفسها من زاوية محلية: العائد التربوي للذكاء الاصطناعي يتحدّد بجودة المنظومة التي تستقبله، من تأهيل وبنية تحتية وسياسة واضحة، لا بجودة التقنية ذاتها (מרכז המחקר והמידע של הכנסת، 2024).</w:t>
      </w:r>
    </w:p>
    <w:p>
      <w:pPr>
        <w:pStyle w:val="Heading2"/>
        <w:bidi/>
        <w:spacing w:after="200" w:before="320" w:line="480"/>
        <w:jc w:val="right"/>
      </w:pPr>
      <w:r>
        <w:rPr>
          <w:rFonts w:ascii="Times New Roman" w:cs="Simplified Arabic" w:hAnsi="Times New Roman"/>
          <w:b/>
          <w:bCs/>
          <w:color w:val="000000"/>
          <w:sz w:val="29"/>
          <w:szCs w:val="29"/>
          <w:rtl/>
        </w:rPr>
        <w:t xml:space="preserve">مجالات الدمج في العمل التربوي</w:t>
      </w:r>
    </w:p>
    <w:p>
      <w:pPr>
        <w:bidi/>
        <w:spacing w:after="0" w:line="480"/>
        <w:ind w:firstLine="709"/>
        <w:jc w:val="both"/>
      </w:pPr>
      <w:r>
        <w:rPr>
          <w:rFonts w:ascii="Times New Roman" w:cs="Simplified Arabic" w:hAnsi="Times New Roman"/>
          <w:sz w:val="28"/>
          <w:szCs w:val="28"/>
          <w:rtl/>
        </w:rPr>
        <w:t xml:space="preserve">المراجعة المنهجية التي أجراها سيليك وآخرون للبحوث المتعلّقة بالمعلّمين تقدّم تصنيفًا عمليًا يقسّم إفادة المعلّم من الذكاء الاصطناعي إلى ثلاثة مجالات. المجال الأول هو التخطيط، حيث تساعد الأدوات في تحديد احتياجات التلاميذ وفي بناء المادة. المجال الثاني هو التنفيذ، حيث تتيح تغذية راجعة فورية وتدخّلًا في الوقت المناسب. المجال الثالث هو التقويم، حيث يجري التصحيح الآلي وتحليل أنماط الأداء (Celik et al., 2022).</w:t>
      </w:r>
    </w:p>
    <w:p>
      <w:pPr>
        <w:bidi/>
        <w:spacing w:after="0" w:line="480"/>
        <w:ind w:firstLine="709"/>
        <w:jc w:val="both"/>
      </w:pPr>
      <w:r>
        <w:rPr>
          <w:rFonts w:ascii="Times New Roman" w:cs="Simplified Arabic" w:hAnsi="Times New Roman"/>
          <w:sz w:val="28"/>
          <w:szCs w:val="28"/>
          <w:rtl/>
        </w:rPr>
        <w:t xml:space="preserve">هذا التقسيم مفيد لأنّه يفصل بين مواضع الدمج، ويسمح للمعلّمة بأن تسأل نفسها في أيّ مرحلة تحتاج فعلًا إلى الأداة. الوحدة المعروضة في القسم العملي بُنيت على هذا التقسيم بالضبط: Canva في مرحلة التخطيط لإنتاج المادة البصرية، وفي مرحلة التنفيذ كسطح عمل تفاعلي، وفي مرحلة التقويم كأداة لجمع مخرجات التلاميذ ومقارنتها.</w:t>
      </w:r>
    </w:p>
    <w:p>
      <w:pPr>
        <w:bidi/>
        <w:spacing w:after="0" w:line="480"/>
        <w:ind w:firstLine="709"/>
        <w:jc w:val="both"/>
      </w:pPr>
      <w:r>
        <w:rPr>
          <w:rFonts w:ascii="Times New Roman" w:cs="Simplified Arabic" w:hAnsi="Times New Roman"/>
          <w:sz w:val="28"/>
          <w:szCs w:val="28"/>
          <w:rtl/>
        </w:rPr>
        <w:t xml:space="preserve">دراسة محلية قدّمت في مؤتمر تشيس تُظهر أنّ هذه المجالات الثلاثة ليست منفصلة عمليًّا. حين تتبّعت الدراسة معلّمي مرحلة ابتدائية يستخدمون أدوات توليدية، وجدت أنّ التغيير بدأ في التخطيط ثم امتدّ من تلقاء نفسه إلى طريقة إدارة الدرس وإلى المهارات الرقمية التي يمارسها التلاميذ في الصف، أي أنّ الدمج في مرحلة واحدة جرّ وراءه المراحل الأخرى (לוי-נדב ואחרים، 2024).</w:t>
      </w:r>
    </w:p>
    <w:p>
      <w:pPr>
        <w:pStyle w:val="Heading2"/>
        <w:bidi/>
        <w:spacing w:after="200" w:before="320" w:line="480"/>
        <w:jc w:val="right"/>
      </w:pPr>
      <w:r>
        <w:rPr>
          <w:rFonts w:ascii="Times New Roman" w:cs="Simplified Arabic" w:hAnsi="Times New Roman"/>
          <w:b/>
          <w:bCs/>
          <w:color w:val="000000"/>
          <w:sz w:val="29"/>
          <w:szCs w:val="29"/>
          <w:rtl/>
        </w:rPr>
        <w:t xml:space="preserve">الفرص والقيود في المسح البحثي</w:t>
      </w:r>
    </w:p>
    <w:p>
      <w:pPr>
        <w:bidi/>
        <w:spacing w:after="0" w:line="480"/>
        <w:ind w:firstLine="709"/>
        <w:jc w:val="both"/>
      </w:pPr>
      <w:r>
        <w:rPr>
          <w:rFonts w:ascii="Times New Roman" w:cs="Simplified Arabic" w:hAnsi="Times New Roman"/>
          <w:sz w:val="28"/>
          <w:szCs w:val="28"/>
          <w:rtl/>
        </w:rPr>
        <w:t xml:space="preserve">المراجعة المنهجية التي أعدّها تشيو وآخرون رصدت الفرص في أربعة مجالات مركزية: التعلّم، التدريس، التقويم، والإدارة. وفي المقابل رصدت قيودًا متكرّرة، أبرزها ضعف الأساس النظري في كثير من الدراسات، وتركيزها على المكاسب قصيرة المدى، وقلّة المتابعة الطويلة (Chiu et al., 2023). أي أنّ الحديث عن أثر الذكاء الاصطناعي على التعلّم لا يزال يقوم على قاعدة بحثية أضعف مما توحي به لهجة التبشير السائدة.</w:t>
      </w:r>
    </w:p>
    <w:p>
      <w:pPr>
        <w:bidi/>
        <w:spacing w:after="0" w:line="480"/>
        <w:ind w:firstLine="709"/>
        <w:jc w:val="both"/>
      </w:pPr>
      <w:r>
        <w:rPr>
          <w:rFonts w:ascii="Times New Roman" w:cs="Simplified Arabic" w:hAnsi="Times New Roman"/>
          <w:sz w:val="28"/>
          <w:szCs w:val="28"/>
          <w:rtl/>
        </w:rPr>
        <w:t xml:space="preserve">وفي البلاد جاءت الصورة مشابهة. دراسة نُشرت في مجلة 'جامعة' الصادرة عن أكاديمية القاسمي تناولت دمج أدوات رقمية متقدّمة، منها منصّة تعلّم قائمة على اللعب، في تدريس العلوم في المرحلة الابتدائية، ووجدت تحسّنًا في فهم المصطلحات العلمية وارتفاعًا في الدافعية للتعلّم ("أثر دمج التكنولوجيا المتقدمة"، 2024). وتوجيهات وزارة التربية تعزّز الاتجاه نفسه لكنّها تقيّده بضوابط عمرية واضحة، انطلاقًا من أنّ الفائدة لا تنفصل عن السياق الذي تُستخدم فيه الأداة (משרד החינוך، 2023).</w:t>
      </w:r>
    </w:p>
    <w:p>
      <w:pPr>
        <w:bidi/>
        <w:spacing w:after="0" w:line="480"/>
        <w:ind w:firstLine="709"/>
        <w:jc w:val="both"/>
      </w:pPr>
      <w:r>
        <w:rPr>
          <w:rFonts w:ascii="Times New Roman" w:cs="Simplified Arabic" w:hAnsi="Times New Roman"/>
          <w:sz w:val="28"/>
          <w:szCs w:val="28"/>
          <w:rtl/>
        </w:rPr>
        <w:t xml:space="preserve">يبقى تحفّظ مهمّ. أدوات التوليد تنتج نصًّا سليم الصياغة قد يكون خاطئًا في مضمونه، وهو ما يسمّيه الأدب الإنجليزي "الهلوسة". في مادة كالعلوم يترتّب على ذلك خطر مباشر: صورة تشريحية مولّدة قد تضع عضوًا في موضع غير موضعه، ونصّ توليدي قد يبسّط عملية بيولوجية تبسيطًا يقود إلى تصوّر بديل خاطئ يصعب تصحيحه لاحقًا (Kasneci et al., 2023).</w:t>
      </w:r>
    </w:p>
    <w:p>
      <w:pPr>
        <w:pStyle w:val="Heading2"/>
        <w:bidi/>
        <w:spacing w:after="200" w:before="320" w:line="480"/>
        <w:jc w:val="right"/>
      </w:pPr>
      <w:r>
        <w:rPr>
          <w:rFonts w:ascii="Times New Roman" w:cs="Simplified Arabic" w:hAnsi="Times New Roman"/>
          <w:b/>
          <w:bCs/>
          <w:color w:val="000000"/>
          <w:sz w:val="29"/>
          <w:szCs w:val="29"/>
          <w:rtl/>
        </w:rPr>
        <w:t xml:space="preserve">الذكاء الاصطناعي في تدريس العلوم</w:t>
      </w:r>
    </w:p>
    <w:p>
      <w:pPr>
        <w:bidi/>
        <w:spacing w:after="0" w:line="480"/>
        <w:ind w:firstLine="709"/>
        <w:jc w:val="both"/>
      </w:pPr>
      <w:r>
        <w:rPr>
          <w:rFonts w:ascii="Times New Roman" w:cs="Simplified Arabic" w:hAnsi="Times New Roman"/>
          <w:sz w:val="28"/>
          <w:szCs w:val="28"/>
          <w:rtl/>
        </w:rPr>
        <w:t xml:space="preserve">المراجعة المنهجية التي أعدّها المصري (Almasri, 2024) للبحوث التجريبية في مجال تعليم العلوم وتعلّمها تقدّم صورة أكثر تحديدًا. أظهرت المراجعة نتائج إيجابية على نواتج التعلّم في معظم الدراسات المشمولة، مع تفاوت في حجم الأثر بحسب طبيعة التوظيف، وسجّلت أنّ تصوّرات التلاميذ والمعلّمين تجاه هذه الأدوات إيجابية بوجه عام، وأنّ التحديات المتكرّرة تتصل بالتأهيل وبالبنية التحتية وبالاعتبارات الأخلاقية (Almasri, 2024).</w:t>
      </w:r>
    </w:p>
    <w:p>
      <w:pPr>
        <w:bidi/>
        <w:spacing w:after="0" w:line="480"/>
        <w:ind w:firstLine="709"/>
        <w:jc w:val="both"/>
      </w:pPr>
      <w:r>
        <w:rPr>
          <w:rFonts w:ascii="Times New Roman" w:cs="Simplified Arabic" w:hAnsi="Times New Roman"/>
          <w:sz w:val="28"/>
          <w:szCs w:val="28"/>
          <w:rtl/>
        </w:rPr>
        <w:t xml:space="preserve">ما يجعل تدريس العلوم مجالًا ملائمًا لهذا الدمج هو طبيعة المادة نفسها. كثير من مفاهيم العلوم بصريّ في جوهره أو مكانيّ: موقع العضو، اتجاه الحركة، تسلسل العملية. وهذه بالضبط أنواع المعرفة التي يصعب نقلها بالكلام وحده، ويسهل نقلها بتمثيل بصري قابل للتلاعب. الدراسة المحلية المذكورة أعلاه توضح ذلك عمليًّا: المحاكاة البصرية والألعاب الرقمية حسّنت فهم مصطلحات علمية مجرّدة لدى تلاميذ المرحلة الابتدائية تحديدًا لأنّها جعلت المفهوم قابلًا للرؤية وللتجربة ("أثر دمج التكنولوجيا المتقدمة"، 2024).</w:t>
      </w:r>
    </w:p>
    <w:p>
      <w:pPr>
        <w:pStyle w:val="Heading2"/>
        <w:bidi/>
        <w:spacing w:after="200" w:before="320" w:line="480"/>
        <w:jc w:val="right"/>
      </w:pPr>
      <w:r>
        <w:rPr>
          <w:rFonts w:ascii="Times New Roman" w:cs="Simplified Arabic" w:hAnsi="Times New Roman"/>
          <w:b/>
          <w:bCs/>
          <w:color w:val="000000"/>
          <w:sz w:val="29"/>
          <w:szCs w:val="29"/>
          <w:rtl/>
        </w:rPr>
        <w:t xml:space="preserve">كفايات المعلّم: إطار TPACK</w:t>
      </w:r>
    </w:p>
    <w:p>
      <w:pPr>
        <w:bidi/>
        <w:spacing w:after="0" w:line="480"/>
        <w:ind w:firstLine="709"/>
        <w:jc w:val="both"/>
      </w:pPr>
      <w:r>
        <w:rPr>
          <w:rFonts w:ascii="Times New Roman" w:cs="Simplified Arabic" w:hAnsi="Times New Roman"/>
          <w:sz w:val="28"/>
          <w:szCs w:val="28"/>
          <w:rtl/>
        </w:rPr>
        <w:t xml:space="preserve">الإطار الأكثر استخدامًا لفهم ما يحتاجه المعلّم عند إدخال تقنية إلى درسه هو إطار المعرفة التكنولوجية البيداغوجية للمحتوى، المعروف اختصارًا بـ TPACK. يقوم الإطار على أنّ الكفاية المطلوبة ليست مجموع ثلاث معارف منفصلة، أي معرفة المحتوى ومعرفة البيداغوجيا ومعرفة التقنية، بل هي المنطقة التي تتقاطع فيها الثلاثة: القدرة على معرفة أيّ تقنية تخدم أيّ محتوى بأيّ طريقة تدريس (Mishra &amp; Koehler, 2006).</w:t>
      </w:r>
    </w:p>
    <w:p>
      <w:pPr>
        <w:bidi/>
        <w:spacing w:after="0" w:line="480"/>
        <w:ind w:firstLine="709"/>
        <w:jc w:val="both"/>
      </w:pPr>
      <w:r>
        <w:rPr>
          <w:rFonts w:ascii="Times New Roman" w:cs="Simplified Arabic" w:hAnsi="Times New Roman"/>
          <w:sz w:val="28"/>
          <w:szCs w:val="28"/>
          <w:rtl/>
        </w:rPr>
        <w:t xml:space="preserve">قيمة هذا الإطار في موضوعنا أنّه يفسّر لماذا لا تكفي الدورات التقنية. معلّمة تعرف كيف تشغّل Canva تملك المعرفة التقنية، لكنّها لا تملك بالضرورة معرفة أنّ البازل ملائم لتعليم موقع الأعضاء وغير ملائم لتعليم وظيفة الإنزيمات. هذا التمييز هو ما تؤكده دراسة محلية قُدّمت في مؤتمر تشيس تتبّعت مسارًا للتطوير المهني للمعلّمين في مجال الذكاء الاصطناعي، ووجدت أنّ التأهيل الفعّال هو الذي يربط الأداة بممارسة تدريسية ملموسة، ويشمل أيضًا البعدين الاجتماعي والأخلاقي، لا التشغيل التقني وحده (ליבוביץ، 2025).</w:t>
      </w:r>
    </w:p>
    <w:p>
      <w:pPr>
        <w:bidi/>
        <w:spacing w:after="0" w:line="480"/>
        <w:ind w:firstLine="709"/>
        <w:jc w:val="both"/>
      </w:pPr>
      <w:r>
        <w:rPr>
          <w:rFonts w:ascii="Times New Roman" w:cs="Simplified Arabic" w:hAnsi="Times New Roman"/>
          <w:sz w:val="28"/>
          <w:szCs w:val="28"/>
          <w:rtl/>
        </w:rPr>
        <w:t xml:space="preserve">دراسة محلية حديثة أضافت بُعدًا آخر. حين فُحصت تصوّرات طلبة أكاديميين حول استخدام الأدوات التوليدية، ظهرت فجوة بين السياسة المؤسّسية المكتوبة وبين الممارسة الفعلية، وظهر أنّ المستخدمين يتوقّعون توجيهًا صريحًا من المحاضرين بدل قواعد عامة معلّقة على الجدران (דוידוביץ' וודמני، 2025). الدرس بالنسبة إلى المدرسة واضح: القاعدة التي لا تُناقَش داخل الطاقم تبقى حبرًا على ورق، والخبرة المتراكمة تبقى فردية لا مؤسّسية.</w:t>
      </w:r>
    </w:p>
    <w:p>
      <w:pPr>
        <w:pStyle w:val="Heading2"/>
        <w:bidi/>
        <w:spacing w:after="200" w:before="320" w:line="480"/>
        <w:jc w:val="right"/>
      </w:pPr>
      <w:r>
        <w:rPr>
          <w:rFonts w:ascii="Times New Roman" w:cs="Simplified Arabic" w:hAnsi="Times New Roman"/>
          <w:b/>
          <w:bCs/>
          <w:color w:val="000000"/>
          <w:sz w:val="29"/>
          <w:szCs w:val="29"/>
          <w:rtl/>
        </w:rPr>
        <w:t xml:space="preserve">المعوقات</w:t>
      </w:r>
    </w:p>
    <w:p>
      <w:pPr>
        <w:bidi/>
        <w:spacing w:after="0" w:line="480"/>
        <w:ind w:firstLine="709"/>
        <w:jc w:val="both"/>
      </w:pPr>
      <w:r>
        <w:rPr>
          <w:rFonts w:ascii="Times New Roman" w:cs="Simplified Arabic" w:hAnsi="Times New Roman"/>
          <w:sz w:val="28"/>
          <w:szCs w:val="28"/>
          <w:rtl/>
        </w:rPr>
        <w:t xml:space="preserve">المعوقات المرصودة محليًّا متشابهة إلى حدّ يستدعي الانتباه. تقرير الكنيست يصنّفها بين ما يتصل بالبنية التحتية من أجهزة وشبكة، وما يتصل بالمعلّم من نقص تأهيل وضيق وقت، وما يتصل بغياب معايير موحّدة لاختيار الأدوات وتقييمها، ويضيف بُعدًا محليًّا صريحًا: الفجوة الرقمية بين جهاز التعليم العربي وجهاز التعليم العبري في الأجهزة والاتصال، وهي فجوة تجعل أيّ سياسة موحّدة تصل إلى المدارس بشكل غير موحّد (מרכז המחקר והמידע של הכנסת، 2024).</w:t>
      </w:r>
    </w:p>
    <w:p>
      <w:pPr>
        <w:bidi/>
        <w:spacing w:after="0" w:line="480"/>
        <w:ind w:firstLine="709"/>
        <w:jc w:val="both"/>
      </w:pPr>
      <w:r>
        <w:rPr>
          <w:rFonts w:ascii="Times New Roman" w:cs="Simplified Arabic" w:hAnsi="Times New Roman"/>
          <w:sz w:val="28"/>
          <w:szCs w:val="28"/>
          <w:rtl/>
        </w:rPr>
        <w:t xml:space="preserve">يستحقّ عائق واحد وقفة، لأنّه الأقلّ ذكرًا والأكثر أثرًا: اللغة. معظم أدوات التوليد أُدرِّبت على مادة إنجليزية بالأساس، وأداؤها بالعربية أدنى، خصوصًا في توليد النصّ داخل الصور. هذه ليست ملاحظة نظرية، فهي ظهرت بشكل مباشر في تنفيذ الوحدة المعروضة في القسم العملي، ويُعرَض تفصيلها هناك.</w:t>
      </w:r>
    </w:p>
    <w:p>
      <w:pPr>
        <w:pStyle w:val="Heading2"/>
        <w:bidi/>
        <w:spacing w:after="200" w:before="320" w:line="480"/>
        <w:jc w:val="right"/>
      </w:pPr>
      <w:r>
        <w:rPr>
          <w:rFonts w:ascii="Times New Roman" w:cs="Simplified Arabic" w:hAnsi="Times New Roman"/>
          <w:b/>
          <w:bCs/>
          <w:color w:val="000000"/>
          <w:sz w:val="29"/>
          <w:szCs w:val="29"/>
          <w:rtl/>
        </w:rPr>
        <w:t xml:space="preserve">الأخلاقيات وحماية التلاميذ</w:t>
      </w:r>
    </w:p>
    <w:p>
      <w:pPr>
        <w:bidi/>
        <w:spacing w:after="0" w:line="480"/>
        <w:ind w:firstLine="709"/>
        <w:jc w:val="both"/>
      </w:pPr>
      <w:r>
        <w:rPr>
          <w:rFonts w:ascii="Times New Roman" w:cs="Simplified Arabic" w:hAnsi="Times New Roman"/>
          <w:sz w:val="28"/>
          <w:szCs w:val="28"/>
          <w:rtl/>
        </w:rPr>
        <w:t xml:space="preserve">البُعد الأخلاقي في هذا الموضوع ليس ملحقًا. الدراسة المحلية التي فحصت تصوّرات الطلبة حول الأخلاقيات الأكاديمية في عصر الأدوات التوليدية وجدت أنّ غياب التوجيه الصريح لا يُنتج امتناعًا عن الاستخدام بل استخدامًا بلا قواعد، وأنّ المتعلّمين أنفسهم يطلبون تحديدًا واضحًا للمسموح والممنوع (דוידוביץ' וודמני، 2025). وثيقة اليونسكو لواضعي السياسات تضيف بُعد العدالة، إذ إنّ إتاحة الأدوات لفئة وحجبها عن أخرى تعمّق الفوارق القائمة بدلًا من أن تقلّصها (اليونسكو، 2021).</w:t>
      </w:r>
    </w:p>
    <w:p>
      <w:pPr>
        <w:bidi/>
        <w:spacing w:after="0" w:line="480"/>
        <w:ind w:firstLine="709"/>
        <w:jc w:val="both"/>
      </w:pPr>
      <w:r>
        <w:rPr>
          <w:rFonts w:ascii="Times New Roman" w:cs="Simplified Arabic" w:hAnsi="Times New Roman"/>
          <w:sz w:val="28"/>
          <w:szCs w:val="28"/>
          <w:rtl/>
        </w:rPr>
        <w:t xml:space="preserve">حين يتعلّق الأمر بتلاميذ في سنّ العاشرة تصبح المسألة أدقّ. التوجيهات التي أصدرتها يونيسف بشأن سياسات الذكاء الاصطناعي والأطفال تنصّ على مبدأ عملي واضح: يُعطى الطفل أعلى درجات الحماية، ولا تُجمَع بياناته إلا لغرض محدّد ومعلَن (يونيسف، 2021). وفي البلاد تحوّل هذا المبدأ إلى قاعدة ملزمة: توجيهات وزارة التربية تنصّ على أنّ استخدام أدوات الذكاء الاصطناعي التوليدي في الصفوف الأول حتى السابع يكون عبر حاسوب مركزي واحد وبإدارة المعلّم فقط، من دون حسابات شخصية للتلاميذ (משרד החינוך، 2023). في الصفّ الخامس، إذًا، ليست المسألة اجتهادًا تربويًّا بل التزامًا بتعليمات سارية: لا تُفتَح حسابات باسم التلاميذ، ولا تُرفَع صورهم أو أعمالهم إلى منصّات خارجية، ويبقى التفاعل مع الأداة التوليدية في يد المعلّمة. الوحدة المعروضة لاحقًا بُنيت على هذا القيد، وهو قيد أثّر على التصميم نفسه.</w:t>
      </w:r>
    </w:p>
    <w:p>
      <w:pPr>
        <w:bidi/>
        <w:spacing w:after="0" w:line="480"/>
        <w:ind w:firstLine="709"/>
        <w:jc w:val="both"/>
      </w:pPr>
      <w:r>
        <w:rPr>
          <w:rFonts w:ascii="Times New Roman" w:cs="Simplified Arabic" w:hAnsi="Times New Roman"/>
          <w:sz w:val="28"/>
          <w:szCs w:val="28"/>
          <w:rtl/>
        </w:rPr>
        <w:t xml:space="preserve">الوثيقة الخاصة بالذكاء الاصطناعي التوليدي تضيف شرطًا يتعلّق بالنزاهة: على المؤسّسة أن تحدّد ما هو الاستخدام المقبول وما هو غير المقبول، وأن تُعلِن ذلك مسبقًا، لأنّ غياب القاعدة يفتح الباب لتفسيرات متعارضة بين المعلّم والتلميذ وبين المعلّم والإدارة (اليونسكو، 2023).</w:t>
      </w:r>
    </w:p>
    <w:p>
      <w:pPr>
        <w:pStyle w:val="Heading2"/>
        <w:bidi/>
        <w:spacing w:after="200" w:before="320" w:line="480"/>
        <w:jc w:val="right"/>
      </w:pPr>
      <w:r>
        <w:rPr>
          <w:rFonts w:ascii="Times New Roman" w:cs="Simplified Arabic" w:hAnsi="Times New Roman"/>
          <w:b/>
          <w:bCs/>
          <w:color w:val="000000"/>
          <w:sz w:val="29"/>
          <w:szCs w:val="29"/>
          <w:rtl/>
        </w:rPr>
        <w:t xml:space="preserve">التعلّم البصري والألعاب الرقمية والبازل</w:t>
      </w:r>
    </w:p>
    <w:p>
      <w:pPr>
        <w:bidi/>
        <w:spacing w:after="0" w:line="480"/>
        <w:ind w:firstLine="709"/>
        <w:jc w:val="both"/>
      </w:pPr>
      <w:r>
        <w:rPr>
          <w:rFonts w:ascii="Times New Roman" w:cs="Simplified Arabic" w:hAnsi="Times New Roman"/>
          <w:sz w:val="28"/>
          <w:szCs w:val="28"/>
          <w:rtl/>
        </w:rPr>
        <w:t xml:space="preserve">البازل ليس نشاطًا ترفيهيًا يُضاف إلى الدرس. له أساس تربوي محدّد: هو يفرض على المتعلّم أن يتعامل مع الكلّ وأجزائه في الوقت نفسه، وأن يستخدم علاقات الموقع والحجم والحدود، وأن يصحّح فرضياته بالتجربة الفورية. هذه العمليات قريبة جدًّا من المطلوب في تعليم أجهزة الجسم.</w:t>
      </w:r>
    </w:p>
    <w:p>
      <w:pPr>
        <w:bidi/>
        <w:spacing w:after="0" w:line="480"/>
        <w:ind w:firstLine="709"/>
        <w:jc w:val="both"/>
      </w:pPr>
      <w:r>
        <w:rPr>
          <w:rFonts w:ascii="Times New Roman" w:cs="Simplified Arabic" w:hAnsi="Times New Roman"/>
          <w:sz w:val="28"/>
          <w:szCs w:val="28"/>
          <w:rtl/>
        </w:rPr>
        <w:t xml:space="preserve">الأساس البحثي لتوظيف الألعاب الرقمية في العلوم في المرحلة الابتدائية موثّق محليًّا. الدراسة المنشورة في مجلة 'جامعة' والتي دمجت منصّة تعلّم قائمة على اللعب في دروس العلوم الابتدائية وجدت أثرًا مزدوجًا: تحسّن في فهم المصطلحات العلمية وارتفاع في الدافعية للتعلّم ("أثر دمج التكنولوجيا المتقدمة"، 2024). النتيجة المزدوجة هي المهمّة: النشاط لم يُحسّن المعرفة فقط بل غيّر علاقة التلاميذ بالدرس نفسه، وهذا ما يجعله أداة إدارة صفّ لا أداة تحصيل فحسب.</w:t>
      </w:r>
    </w:p>
    <w:p>
      <w:pPr>
        <w:pStyle w:val="Heading2"/>
        <w:bidi/>
        <w:spacing w:after="200" w:before="320" w:line="480"/>
        <w:jc w:val="right"/>
      </w:pPr>
      <w:r>
        <w:rPr>
          <w:rFonts w:ascii="Times New Roman" w:cs="Simplified Arabic" w:hAnsi="Times New Roman"/>
          <w:b/>
          <w:bCs/>
          <w:color w:val="000000"/>
          <w:sz w:val="29"/>
          <w:szCs w:val="29"/>
          <w:rtl/>
        </w:rPr>
        <w:t xml:space="preserve">أداة Canva وقدراتها المدعومة بالذكاء الاصطناعي</w:t>
      </w:r>
    </w:p>
    <w:p>
      <w:pPr>
        <w:bidi/>
        <w:spacing w:after="0" w:line="480"/>
        <w:ind w:firstLine="709"/>
        <w:jc w:val="both"/>
      </w:pPr>
      <w:r>
        <w:rPr>
          <w:rFonts w:ascii="Times New Roman" w:cs="Simplified Arabic" w:hAnsi="Times New Roman"/>
          <w:sz w:val="28"/>
          <w:szCs w:val="28"/>
          <w:rtl/>
        </w:rPr>
        <w:t xml:space="preserve">Canva منصّة تصميم تعمل في المتصفّح، وتوفّر للمعلمين والمدارس نسخة تعليمية مجانية تتيح الوصول إلى العناصر والقوالب وإلى فضاءات العمل المشتركة (كانفا، ل.ت.). ما يجعلها مناسبة لموضوع هذا العمل هو أنّها ليست أداة ذكاء اصطناعي في أصلها، بل أداة تصميم أُضيفت إليها قدرات توليدية. هذا الوضع يقرّب حالتها من حالة المعلّمة التي لا تبحث عن تقنية بحدّ ذاتها بل عن حلّ لمشكلة تصميمية.</w:t>
      </w:r>
    </w:p>
    <w:p>
      <w:pPr>
        <w:bidi/>
        <w:spacing w:after="0" w:line="480"/>
        <w:ind w:firstLine="709"/>
        <w:jc w:val="both"/>
      </w:pPr>
      <w:r>
        <w:rPr>
          <w:rFonts w:ascii="Times New Roman" w:cs="Simplified Arabic" w:hAnsi="Times New Roman"/>
          <w:sz w:val="28"/>
          <w:szCs w:val="28"/>
          <w:rtl/>
        </w:rPr>
        <w:t xml:space="preserve">القدرات التوليدية المستخدمة في هذا العمل أربع. الأولى توليد النصّ، وتُستخدم في صياغة أسئلة وتعليمات وبطاقات مهامّ. الثانية توليد الصور من وصف نصّي، وتُستخدم في إنتاج المادة البصرية لأجهزة الجسم. الثالثة التصميم الآلي، حيث تقترح المنصّة تخطيطًا كاملًا لعرض أو ورقة عمل انطلاقًا من وصف موجز. الرابعة تحويل التصميم بين قوالب مختلفة، أي تحويل العرض إلى ورقة عمل أو إلى ملصق دون إعادة بناء.</w:t>
      </w:r>
    </w:p>
    <w:p>
      <w:pPr>
        <w:bidi/>
        <w:spacing w:after="0" w:line="480"/>
        <w:ind w:firstLine="709"/>
        <w:jc w:val="both"/>
      </w:pPr>
      <w:r>
        <w:rPr>
          <w:rFonts w:ascii="Times New Roman" w:cs="Simplified Arabic" w:hAnsi="Times New Roman"/>
          <w:sz w:val="28"/>
          <w:szCs w:val="28"/>
          <w:rtl/>
        </w:rPr>
        <w:t xml:space="preserve">إلى جانب ذلك تتيح المنصّة لوحًا تفاعليًّا يمكن سحب العناصر عليه. هذه الخصيصة هي التي سمحت ببناء نسخة رقمية من البازل يعمل عليها التلاميذ مباشرة، وهي نقطة تستحقّ التوضيح لأنّ Canva لا تحتوي مولّد ألعاب جاهزًا، والبازل هنا بُني يدويًّا من عناصر قابلة للسحب على لوح مشترك.</w:t>
      </w:r>
    </w:p>
    <w:p>
      <w:pPr>
        <w:pStyle w:val="Heading1"/>
        <w:pageBreakBefore/>
        <w:bidi/>
        <w:spacing w:after="200" w:before="0" w:line="480"/>
        <w:jc w:val="right"/>
      </w:pPr>
      <w:r>
        <w:rPr>
          <w:rFonts w:ascii="Times New Roman" w:cs="Simplified Arabic" w:hAnsi="Times New Roman"/>
          <w:b/>
          <w:bCs/>
          <w:color w:val="000000"/>
          <w:sz w:val="32"/>
          <w:szCs w:val="32"/>
          <w:rtl/>
        </w:rPr>
        <w:t xml:space="preserve">الجزء العملي: تصميم وحدة تعليمية بأداة Canva</w:t>
      </w:r>
    </w:p>
    <w:p>
      <w:pPr>
        <w:pStyle w:val="Heading2"/>
        <w:bidi/>
        <w:spacing w:after="200" w:before="320" w:line="480"/>
        <w:jc w:val="right"/>
      </w:pPr>
      <w:r>
        <w:rPr>
          <w:rFonts w:ascii="Times New Roman" w:cs="Simplified Arabic" w:hAnsi="Times New Roman"/>
          <w:b/>
          <w:bCs/>
          <w:color w:val="000000"/>
          <w:sz w:val="29"/>
          <w:szCs w:val="29"/>
          <w:rtl/>
        </w:rPr>
        <w:t xml:space="preserve">سياق التنفيذ</w:t>
      </w:r>
    </w:p>
    <w:p>
      <w:pPr>
        <w:bidi/>
        <w:spacing w:after="0" w:line="480"/>
        <w:ind w:firstLine="709"/>
        <w:jc w:val="both"/>
      </w:pPr>
      <w:r>
        <w:rPr>
          <w:rFonts w:ascii="Times New Roman" w:cs="Simplified Arabic" w:hAnsi="Times New Roman"/>
          <w:sz w:val="28"/>
          <w:szCs w:val="28"/>
          <w:rtl/>
        </w:rPr>
        <w:t xml:space="preserve">نُفِّذت الوحدة في صفّ خامس في مدرسة ابتدائية [اسم المدرسة]، وعدد تلاميذه [27] تلميذًا وتلميذة. توزّعوا في العمل على ست مجموعات غير متساوية العدد، بحيث تضمّ كلُّ مجموعة تلميذًا واحدًا على الأقل يجيد القراءة بطلاقة. الصفّ مجهّز بشاشة عرض وبأربعة حواسيب محمولة، ولا تتوافر أجهزة فردية لكلّ تلميذ. هذا القيد ليس تفصيلًا هامشيًّا، فهو الذي حدّد شكل النشاط: عمل في مجموعات حول جهاز واحد، لا عمل فردي متزامن.</w:t>
      </w:r>
    </w:p>
    <w:p>
      <w:pPr>
        <w:bidi/>
        <w:spacing w:after="0" w:line="480"/>
        <w:ind w:firstLine="709"/>
        <w:jc w:val="both"/>
      </w:pPr>
      <w:r>
        <w:rPr>
          <w:rFonts w:ascii="Times New Roman" w:cs="Simplified Arabic" w:hAnsi="Times New Roman"/>
          <w:sz w:val="28"/>
          <w:szCs w:val="28"/>
          <w:rtl/>
        </w:rPr>
        <w:t xml:space="preserve">الوحدة المختارة هي "أجهزة جسم الإنسان"، وهي وحدة مركزية في منهج العلوم للمرحلة الابتدائية، وتمتدّ على خمسة دروس بمدّة خمس وأربعين دقيقة لكلّ درس. الأداة المختارة هي Canva، وقد اتُّخذ قرار مبدئي بالاكتفاء بأداة واحدة عبر الوحدة كلّها. سبب هذا القرار عملي: تعدّد الأدوات يستهلك من وقت التعلّم أكثر مما يضيف إليه، إذ يحتاج التلاميذ في كلّ مرة إلى تعلّم واجهة جديدة.</w:t>
      </w:r>
    </w:p>
    <w:p>
      <w:pPr>
        <w:pStyle w:val="Heading2"/>
        <w:bidi/>
        <w:spacing w:after="200" w:before="320" w:line="480"/>
        <w:jc w:val="right"/>
      </w:pPr>
      <w:r>
        <w:rPr>
          <w:rFonts w:ascii="Times New Roman" w:cs="Simplified Arabic" w:hAnsi="Times New Roman"/>
          <w:b/>
          <w:bCs/>
          <w:color w:val="000000"/>
          <w:sz w:val="29"/>
          <w:szCs w:val="29"/>
          <w:rtl/>
        </w:rPr>
        <w:t xml:space="preserve">أهداف الوحدة</w:t>
      </w:r>
    </w:p>
    <w:p>
      <w:pPr>
        <w:bidi/>
        <w:spacing w:after="0" w:line="480"/>
        <w:ind w:firstLine="709"/>
        <w:jc w:val="both"/>
      </w:pPr>
      <w:r>
        <w:rPr>
          <w:rFonts w:ascii="Times New Roman" w:cs="Simplified Arabic" w:hAnsi="Times New Roman"/>
          <w:sz w:val="28"/>
          <w:szCs w:val="28"/>
          <w:rtl/>
        </w:rPr>
        <w:t xml:space="preserve">صيغت أهداف الوحدة على مستويين. الأهداف المتصلة بالمحتوى العلمي هي أن يميّز التلميذ بين أجهزة الجسم الأربعة المشمولة في الوحدة، وأن يحدّد موقع الأعضاء الرئيسة في كلّ جهاز، وأن يشرح وظيفة كلّ جهاز بكلماته، وأن يبيّن علاقة بين جهازين على الأقل. الأهداف المتصلة بمهارات العمل هي أن يعمل التلميذ في مجموعة على مهمّة مشتركة لها ناتج واحد، وأن يصحّح فرضية بناءً على تغذية راجعة، وأن ينتج مادة بصرية يشرح بها لغيره.</w:t>
      </w:r>
    </w:p>
    <w:p>
      <w:pPr>
        <w:bidi/>
        <w:spacing w:after="0" w:line="480"/>
        <w:ind w:firstLine="709"/>
        <w:jc w:val="both"/>
      </w:pPr>
      <w:r>
        <w:rPr>
          <w:rFonts w:ascii="Times New Roman" w:cs="Simplified Arabic" w:hAnsi="Times New Roman"/>
          <w:sz w:val="28"/>
          <w:szCs w:val="28"/>
          <w:rtl/>
        </w:rPr>
        <w:t xml:space="preserve">يستحقّ الهدف الأخير توضيحًا. الغاية منه ليست إنتاجًا فنّيًّا، بل نقل التلميذ من موقع المستقبل إلى موقع الشارح. من يصمّم بطاقة تشرح الجهاز التنفسي مضطرّ إلى أن يقرّر ما هو جوهري وما هو ثانوي، وهذا قرار معرفي لا قرار تصميمي.</w:t>
      </w:r>
    </w:p>
    <w:p>
      <w:pPr>
        <w:pStyle w:val="Heading2"/>
        <w:bidi/>
        <w:spacing w:after="200" w:before="320" w:line="480"/>
        <w:jc w:val="right"/>
      </w:pPr>
      <w:r>
        <w:rPr>
          <w:rFonts w:ascii="Times New Roman" w:cs="Simplified Arabic" w:hAnsi="Times New Roman"/>
          <w:b/>
          <w:bCs/>
          <w:color w:val="000000"/>
          <w:sz w:val="29"/>
          <w:szCs w:val="29"/>
          <w:rtl/>
        </w:rPr>
        <w:t xml:space="preserve">منهجية التصميم بمساعدة الذكاء الاصطناعي</w:t>
      </w:r>
    </w:p>
    <w:p>
      <w:pPr>
        <w:bidi/>
        <w:spacing w:after="0" w:line="480"/>
        <w:ind w:firstLine="709"/>
        <w:jc w:val="both"/>
      </w:pPr>
      <w:r>
        <w:rPr>
          <w:rFonts w:ascii="Times New Roman" w:cs="Simplified Arabic" w:hAnsi="Times New Roman"/>
          <w:sz w:val="28"/>
          <w:szCs w:val="28"/>
          <w:rtl/>
        </w:rPr>
        <w:t xml:space="preserve">اتُّبعت في بناء الوحدة خمس مراحل. في مرحلة التحليل حُدِّدت المفاهيم المسبقة المتوقّعة والتصوّرات البديلة الشائعة في هذه السنّ، مثل الخلط بين المعدة والأمعاء أو تصوّر أنّ الهواء يذهب إلى المعدة. استُعين في هذه المرحلة بأداة التوليد النصّي لتوليد قائمة تصوّرات بديلة محتملة، ثم رُوجعت القائمة يدويًّا وحُذف منها ما لا يلائم المرحلة.</w:t>
      </w:r>
    </w:p>
    <w:p>
      <w:pPr>
        <w:bidi/>
        <w:spacing w:after="0" w:line="480"/>
        <w:ind w:firstLine="709"/>
        <w:jc w:val="both"/>
      </w:pPr>
      <w:r>
        <w:rPr>
          <w:rFonts w:ascii="Times New Roman" w:cs="Simplified Arabic" w:hAnsi="Times New Roman"/>
          <w:sz w:val="28"/>
          <w:szCs w:val="28"/>
          <w:rtl/>
        </w:rPr>
        <w:t xml:space="preserve">في مرحلة التصميم وُزّعت الأهداف على الدروس الخمسة، وحُدِّدت لكلّ درس مهمّة مركزية واحدة وأسلوب تقويم واحد. في مرحلة التطوير أُنتجت المواد كلّها في Canva: العروض، وبطاقات المهامّ، والبازل بنسختيه الرقمية والمطبوعة، وسلّم التقدير، واستمارة التغذية الراجعة. في مرحلة التنفيذ جرى الدرس، وفي مرحلة التقويم جُمعت مخرجات التلاميذ وقُورنت بمعايير سلّم التقدير.</w:t>
      </w:r>
    </w:p>
    <w:p>
      <w:pPr>
        <w:bidi/>
        <w:spacing w:after="0" w:line="480"/>
        <w:ind w:firstLine="709"/>
        <w:jc w:val="both"/>
      </w:pPr>
      <w:r>
        <w:rPr>
          <w:rFonts w:ascii="Times New Roman" w:cs="Simplified Arabic" w:hAnsi="Times New Roman"/>
          <w:sz w:val="28"/>
          <w:szCs w:val="28"/>
          <w:rtl/>
        </w:rPr>
        <w:t xml:space="preserve">نقطة مركزية في هذه المنهجية أنّ المخرجات المولَّدة لم تُستخدم كما هي في أيّ مرحلة. كلّ نصّ مولَّد أُعيد صياغته بلغة تلائم الصف الخامس، وكلّ صورة مولَّدة قُورنت بمرجع علمي قبل استخدامها. تفصيل هذه المراجعة يُعرَض في فصل المناقشة، لأنّها كانت أكثر ما استهلك الوقت وأكثر ما أفاد.</w:t>
      </w:r>
    </w:p>
    <w:p>
      <w:pPr>
        <w:pStyle w:val="Heading2"/>
        <w:bidi/>
        <w:spacing w:after="200" w:before="320" w:line="480"/>
        <w:jc w:val="right"/>
      </w:pPr>
      <w:r>
        <w:rPr>
          <w:rFonts w:ascii="Times New Roman" w:cs="Simplified Arabic" w:hAnsi="Times New Roman"/>
          <w:b/>
          <w:bCs/>
          <w:color w:val="000000"/>
          <w:sz w:val="29"/>
          <w:szCs w:val="29"/>
          <w:rtl/>
        </w:rPr>
        <w:t xml:space="preserve">خطة الوحدة</w:t>
      </w:r>
    </w:p>
    <w:p>
      <w:pPr>
        <w:bidi/>
        <w:spacing w:after="0" w:line="480"/>
        <w:ind w:firstLine="709"/>
        <w:jc w:val="both"/>
      </w:pPr>
      <w:r>
        <w:rPr>
          <w:rFonts w:ascii="Times New Roman" w:cs="Simplified Arabic" w:hAnsi="Times New Roman"/>
          <w:sz w:val="28"/>
          <w:szCs w:val="28"/>
          <w:rtl/>
        </w:rPr>
        <w:t xml:space="preserve">يعرض الجدول الآتي توزيع الدروس الخمسة، وأدوات Canva المستخدمة في كلّ درس، والمهمّة المركزية، وأسلوب التقويم.</w:t>
      </w:r>
    </w:p>
    <w:p>
      <w:pPr>
        <w:bidi/>
        <w:spacing w:after="0" w:before="240" w:line="240"/>
        <w:jc w:val="right"/>
      </w:pPr>
      <w:r>
        <w:rPr>
          <w:rFonts w:ascii="Times New Roman" w:cs="Simplified Arabic" w:hAnsi="Times New Roman"/>
          <w:b/>
          <w:bCs/>
          <w:sz w:val="26"/>
          <w:szCs w:val="26"/>
          <w:rtl/>
        </w:rPr>
        <w:t xml:space="preserve">جدول 1</w:t>
      </w:r>
    </w:p>
    <w:p>
      <w:pPr>
        <w:bidi/>
        <w:spacing w:after="120" w:before="0" w:line="240"/>
        <w:jc w:val="right"/>
      </w:pPr>
      <w:r>
        <w:rPr>
          <w:rFonts w:ascii="Times New Roman" w:cs="Simplified Arabic" w:hAnsi="Times New Roman"/>
          <w:i/>
          <w:iCs/>
          <w:sz w:val="26"/>
          <w:szCs w:val="26"/>
          <w:rtl/>
        </w:rPr>
        <w:t xml:space="preserve">خطة وحدة "أجهزة جسم الإنسان" للصف الخامس</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72"/>
        <w:gridCol w:w="1900"/>
        <w:gridCol w:w="2100"/>
        <w:gridCol w:w="2100"/>
        <w:gridCol w:w="1900"/>
      </w:tblGrid>
      <w:tr>
        <w:trPr>
          <w:tblHeader/>
        </w:trPr>
        <w:tc>
          <w:tcPr>
            <w:tcW w:type="dxa" w:w="1072"/>
            <w:shd w:fill="E8E8E8" w:color="auto" w:val="clear"/>
            <w:tcMar>
              <w:top w:type="dxa" w:w="80"/>
              <w:left w:type="dxa" w:w="100"/>
              <w:bottom w:type="dxa" w:w="80"/>
              <w:right w:type="dxa" w:w="100"/>
            </w:tcMar>
          </w:tcPr>
          <w:p>
            <w:pPr>
              <w:bidi/>
              <w:spacing w:after="0" w:line="240"/>
              <w:jc w:val="right"/>
            </w:pPr>
            <w:r>
              <w:rPr>
                <w:rFonts w:ascii="Times New Roman" w:cs="Simplified Arabic" w:hAnsi="Times New Roman"/>
                <w:b/>
                <w:bCs/>
                <w:sz w:val="24"/>
                <w:szCs w:val="24"/>
                <w:rtl/>
              </w:rPr>
              <w:t xml:space="preserve">الدرس</w:t>
            </w:r>
          </w:p>
        </w:tc>
        <w:tc>
          <w:tcPr>
            <w:tcW w:type="dxa" w:w="1900"/>
            <w:shd w:fill="E8E8E8" w:color="auto" w:val="clear"/>
            <w:tcMar>
              <w:top w:type="dxa" w:w="80"/>
              <w:left w:type="dxa" w:w="100"/>
              <w:bottom w:type="dxa" w:w="80"/>
              <w:right w:type="dxa" w:w="100"/>
            </w:tcMar>
          </w:tcPr>
          <w:p>
            <w:pPr>
              <w:bidi/>
              <w:spacing w:after="0" w:line="240"/>
              <w:jc w:val="right"/>
            </w:pPr>
            <w:r>
              <w:rPr>
                <w:rFonts w:ascii="Times New Roman" w:cs="Simplified Arabic" w:hAnsi="Times New Roman"/>
                <w:b/>
                <w:bCs/>
                <w:sz w:val="24"/>
                <w:szCs w:val="24"/>
                <w:rtl/>
              </w:rPr>
              <w:t xml:space="preserve">موضوع الدرس</w:t>
            </w:r>
          </w:p>
        </w:tc>
        <w:tc>
          <w:tcPr>
            <w:tcW w:type="dxa" w:w="2100"/>
            <w:shd w:fill="E8E8E8" w:color="auto" w:val="clear"/>
            <w:tcMar>
              <w:top w:type="dxa" w:w="80"/>
              <w:left w:type="dxa" w:w="100"/>
              <w:bottom w:type="dxa" w:w="80"/>
              <w:right w:type="dxa" w:w="100"/>
            </w:tcMar>
          </w:tcPr>
          <w:p>
            <w:pPr>
              <w:bidi/>
              <w:spacing w:after="0" w:line="240"/>
              <w:jc w:val="right"/>
            </w:pPr>
            <w:r>
              <w:rPr>
                <w:rFonts w:ascii="Times New Roman" w:cs="Simplified Arabic" w:hAnsi="Times New Roman"/>
                <w:b/>
                <w:bCs/>
                <w:sz w:val="24"/>
                <w:szCs w:val="24"/>
                <w:rtl/>
              </w:rPr>
              <w:t xml:space="preserve">أدوات Canva المستخدمة</w:t>
            </w:r>
          </w:p>
        </w:tc>
        <w:tc>
          <w:tcPr>
            <w:tcW w:type="dxa" w:w="2100"/>
            <w:shd w:fill="E8E8E8" w:color="auto" w:val="clear"/>
            <w:tcMar>
              <w:top w:type="dxa" w:w="80"/>
              <w:left w:type="dxa" w:w="100"/>
              <w:bottom w:type="dxa" w:w="80"/>
              <w:right w:type="dxa" w:w="100"/>
            </w:tcMar>
          </w:tcPr>
          <w:p>
            <w:pPr>
              <w:bidi/>
              <w:spacing w:after="0" w:line="240"/>
              <w:jc w:val="right"/>
            </w:pPr>
            <w:r>
              <w:rPr>
                <w:rFonts w:ascii="Times New Roman" w:cs="Simplified Arabic" w:hAnsi="Times New Roman"/>
                <w:b/>
                <w:bCs/>
                <w:sz w:val="24"/>
                <w:szCs w:val="24"/>
                <w:rtl/>
              </w:rPr>
              <w:t xml:space="preserve">المهمّة المركزية</w:t>
            </w:r>
          </w:p>
        </w:tc>
        <w:tc>
          <w:tcPr>
            <w:tcW w:type="dxa" w:w="1900"/>
            <w:shd w:fill="E8E8E8" w:color="auto" w:val="clear"/>
            <w:tcMar>
              <w:top w:type="dxa" w:w="80"/>
              <w:left w:type="dxa" w:w="100"/>
              <w:bottom w:type="dxa" w:w="80"/>
              <w:right w:type="dxa" w:w="100"/>
            </w:tcMar>
          </w:tcPr>
          <w:p>
            <w:pPr>
              <w:bidi/>
              <w:spacing w:after="0" w:line="240"/>
              <w:jc w:val="right"/>
            </w:pPr>
            <w:r>
              <w:rPr>
                <w:rFonts w:ascii="Times New Roman" w:cs="Simplified Arabic" w:hAnsi="Times New Roman"/>
                <w:b/>
                <w:bCs/>
                <w:sz w:val="24"/>
                <w:szCs w:val="24"/>
                <w:rtl/>
              </w:rPr>
              <w:t xml:space="preserve">التقويم</w:t>
            </w:r>
          </w:p>
        </w:tc>
      </w:tr>
      <w:tr>
        <w:trPr>
          <w:tblHeader w:val="false"/>
        </w:trPr>
        <w:tc>
          <w:tcPr>
            <w:tcW w:type="dxa" w:w="1072"/>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الأول</w:t>
            </w:r>
          </w:p>
        </w:tc>
        <w:tc>
          <w:tcPr>
            <w:tcW w:type="dxa" w:w="1900"/>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الجهاز الهضمي: المسار والأعضاء</w:t>
            </w:r>
          </w:p>
        </w:tc>
        <w:tc>
          <w:tcPr>
            <w:tcW w:type="dxa" w:w="2100"/>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عرض تفاعلي، صور مولَّدة، لوح تفاعلي</w:t>
            </w:r>
          </w:p>
        </w:tc>
        <w:tc>
          <w:tcPr>
            <w:tcW w:type="dxa" w:w="2100"/>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ترتيب مسار الطعام على لوح مشترك</w:t>
            </w:r>
          </w:p>
        </w:tc>
        <w:tc>
          <w:tcPr>
            <w:tcW w:type="dxa" w:w="1900"/>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أسئلة شفوية موجّهة وجمع البطاقات</w:t>
            </w:r>
          </w:p>
        </w:tc>
      </w:tr>
      <w:tr>
        <w:trPr>
          <w:tblHeader w:val="false"/>
        </w:trPr>
        <w:tc>
          <w:tcPr>
            <w:tcW w:type="dxa" w:w="1072"/>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الثاني</w:t>
            </w:r>
          </w:p>
        </w:tc>
        <w:tc>
          <w:tcPr>
            <w:tcW w:type="dxa" w:w="1900"/>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الجهاز التنفسي: من الأنف إلى الحويصلات</w:t>
            </w:r>
          </w:p>
        </w:tc>
        <w:tc>
          <w:tcPr>
            <w:tcW w:type="dxa" w:w="2100"/>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قالب بطاقة، توليد نصّ، توليد صورة</w:t>
            </w:r>
          </w:p>
        </w:tc>
        <w:tc>
          <w:tcPr>
            <w:tcW w:type="dxa" w:w="2100"/>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إنتاج بطاقة تشرح رحلة الهواء</w:t>
            </w:r>
          </w:p>
        </w:tc>
        <w:tc>
          <w:tcPr>
            <w:tcW w:type="dxa" w:w="1900"/>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بطاقة شرح ينتجها التلميذ</w:t>
            </w:r>
          </w:p>
        </w:tc>
      </w:tr>
      <w:tr>
        <w:trPr>
          <w:tblHeader w:val="false"/>
        </w:trPr>
        <w:tc>
          <w:tcPr>
            <w:tcW w:type="dxa" w:w="1072"/>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الثالث</w:t>
            </w:r>
          </w:p>
        </w:tc>
        <w:tc>
          <w:tcPr>
            <w:tcW w:type="dxa" w:w="1900"/>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الجهاز الدوري: القلب والدورة</w:t>
            </w:r>
          </w:p>
        </w:tc>
        <w:tc>
          <w:tcPr>
            <w:tcW w:type="dxa" w:w="2100"/>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لوح تفاعلي، بازل مبني من عناصر قابلة للسحب</w:t>
            </w:r>
          </w:p>
        </w:tc>
        <w:tc>
          <w:tcPr>
            <w:tcW w:type="dxa" w:w="2100"/>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تركيب البازل الرقمي في مجموعات</w:t>
            </w:r>
          </w:p>
        </w:tc>
        <w:tc>
          <w:tcPr>
            <w:tcW w:type="dxa" w:w="1900"/>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ملاحظة أثناء العمل وتوثيق الأخطاء</w:t>
            </w:r>
          </w:p>
        </w:tc>
      </w:tr>
      <w:tr>
        <w:trPr>
          <w:tblHeader w:val="false"/>
        </w:trPr>
        <w:tc>
          <w:tcPr>
            <w:tcW w:type="dxa" w:w="1072"/>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الرابع</w:t>
            </w:r>
          </w:p>
        </w:tc>
        <w:tc>
          <w:tcPr>
            <w:tcW w:type="dxa" w:w="1900"/>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الجهاز الهيكلي والعضلي</w:t>
            </w:r>
          </w:p>
        </w:tc>
        <w:tc>
          <w:tcPr>
            <w:tcW w:type="dxa" w:w="2100"/>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ورقة عمل مولَّدة، تحويل قالب</w:t>
            </w:r>
          </w:p>
        </w:tc>
        <w:tc>
          <w:tcPr>
            <w:tcW w:type="dxa" w:w="2100"/>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مطابقة العضلة بالعظم والحركة</w:t>
            </w:r>
          </w:p>
        </w:tc>
        <w:tc>
          <w:tcPr>
            <w:tcW w:type="dxa" w:w="1900"/>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ورقة عمل مطبوعة</w:t>
            </w:r>
          </w:p>
        </w:tc>
      </w:tr>
      <w:tr>
        <w:trPr>
          <w:tblHeader w:val="false"/>
        </w:trPr>
        <w:tc>
          <w:tcPr>
            <w:tcW w:type="dxa" w:w="1072"/>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الخامس</w:t>
            </w:r>
          </w:p>
        </w:tc>
        <w:tc>
          <w:tcPr>
            <w:tcW w:type="dxa" w:w="1900"/>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تكامل الأجهزة ومراجعة الوحدة</w:t>
            </w:r>
          </w:p>
        </w:tc>
        <w:tc>
          <w:tcPr>
            <w:tcW w:type="dxa" w:w="2100"/>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بازل مطبوع، ملصق تجميعي</w:t>
            </w:r>
          </w:p>
        </w:tc>
        <w:tc>
          <w:tcPr>
            <w:tcW w:type="dxa" w:w="2100"/>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تركيب البازل الشامل وربط الأجهزة</w:t>
            </w:r>
          </w:p>
        </w:tc>
        <w:tc>
          <w:tcPr>
            <w:tcW w:type="dxa" w:w="1900"/>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البازل المطبوع كأداة تقويم ختامي</w:t>
            </w:r>
          </w:p>
        </w:tc>
      </w:tr>
    </w:tbl>
    <w:p>
      <w:pPr>
        <w:spacing w:after="200"/>
      </w:pPr>
    </w:p>
    <w:p>
      <w:pPr>
        <w:pStyle w:val="Heading2"/>
        <w:bidi/>
        <w:spacing w:after="200" w:before="320" w:line="480"/>
        <w:jc w:val="right"/>
      </w:pPr>
      <w:r>
        <w:rPr>
          <w:rFonts w:ascii="Times New Roman" w:cs="Simplified Arabic" w:hAnsi="Times New Roman"/>
          <w:b/>
          <w:bCs/>
          <w:color w:val="000000"/>
          <w:sz w:val="29"/>
          <w:szCs w:val="29"/>
          <w:rtl/>
        </w:rPr>
        <w:t xml:space="preserve">الدروس بالتفصيل</w:t>
      </w:r>
    </w:p>
    <w:p>
      <w:pPr>
        <w:pStyle w:val="Heading3"/>
        <w:bidi/>
        <w:spacing w:after="200" w:before="320" w:line="480"/>
        <w:jc w:val="right"/>
      </w:pPr>
      <w:r>
        <w:rPr>
          <w:rFonts w:ascii="Times New Roman" w:cs="Simplified Arabic" w:hAnsi="Times New Roman"/>
          <w:b/>
          <w:bCs/>
          <w:color w:val="000000"/>
          <w:sz w:val="27"/>
          <w:szCs w:val="27"/>
          <w:rtl/>
        </w:rPr>
        <w:t xml:space="preserve">الدرس الأول: الجهاز الهضمي</w:t>
      </w:r>
    </w:p>
    <w:p>
      <w:pPr>
        <w:bidi/>
        <w:spacing w:after="0" w:line="480"/>
        <w:ind w:firstLine="709"/>
        <w:jc w:val="both"/>
      </w:pPr>
      <w:r>
        <w:rPr>
          <w:rFonts w:ascii="Times New Roman" w:cs="Simplified Arabic" w:hAnsi="Times New Roman"/>
          <w:sz w:val="28"/>
          <w:szCs w:val="28"/>
          <w:rtl/>
        </w:rPr>
        <w:t xml:space="preserve">بدأ الدرس بسؤال واحد كُتِب على الشاشة: أين يوجد الطعام الآن بعد ثلاث ساعات من الفطور؟ الغرض من هذه الصيغة أن تُظهر التصوّرات المسبقة قبل أيّ شرح. جُمعت أجوبة التلاميذ على لوح Canva تفاعلي دون تصحيح، وبقيت معروضة حتى نهاية الدرس ليُقارن بها.</w:t>
      </w:r>
    </w:p>
    <w:p>
      <w:pPr>
        <w:bidi/>
        <w:spacing w:after="0" w:line="480"/>
        <w:ind w:firstLine="709"/>
        <w:jc w:val="both"/>
      </w:pPr>
      <w:r>
        <w:rPr>
          <w:rFonts w:ascii="Times New Roman" w:cs="Simplified Arabic" w:hAnsi="Times New Roman"/>
          <w:sz w:val="28"/>
          <w:szCs w:val="28"/>
          <w:rtl/>
        </w:rPr>
        <w:t xml:space="preserve">أُنتِج بعد ذلك عرض من ستّ لوحات، تحمل كلٌّ منها عضوًا واحدًا من أعضاء الجهاز الهضمي مع سؤال قصير. الصور المستخدمة مولَّدة، وقد اقتضى الأمر مراجعتها عضوًا عضوًا. في نهاية الدرس عاد التلاميذ إلى أجوبتهم الأولى وأشاروا إلى ما تغيّر فيها. هذه العودة هي الجزء الذي حمل أكبر قيمة تعلّمية، لأنّ التلميذ لم يسمع أنّه كان مخطئًا بل رأى ذلك بنفسه.</w:t>
      </w:r>
    </w:p>
    <w:p>
      <w:pPr>
        <w:pStyle w:val="Heading3"/>
        <w:bidi/>
        <w:spacing w:after="200" w:before="320" w:line="480"/>
        <w:jc w:val="right"/>
      </w:pPr>
      <w:r>
        <w:rPr>
          <w:rFonts w:ascii="Times New Roman" w:cs="Simplified Arabic" w:hAnsi="Times New Roman"/>
          <w:b/>
          <w:bCs/>
          <w:color w:val="000000"/>
          <w:sz w:val="27"/>
          <w:szCs w:val="27"/>
          <w:rtl/>
        </w:rPr>
        <w:t xml:space="preserve">الدرس الثاني: الجهاز التنفسي</w:t>
      </w:r>
    </w:p>
    <w:p>
      <w:pPr>
        <w:bidi/>
        <w:spacing w:after="0" w:line="480"/>
        <w:ind w:firstLine="709"/>
        <w:jc w:val="both"/>
      </w:pPr>
      <w:r>
        <w:rPr>
          <w:rFonts w:ascii="Times New Roman" w:cs="Simplified Arabic" w:hAnsi="Times New Roman"/>
          <w:sz w:val="28"/>
          <w:szCs w:val="28"/>
          <w:rtl/>
        </w:rPr>
        <w:t xml:space="preserve">محور هذا الدرس هو إنتاج التلميذ لا استقباله. عملت كلّ مجموعة على قالب بطاقة واحدة في Canva، ومهمّتها أن تشرح رحلة الهواء من الأنف إلى الحويصلات الهوائية في أربع خطوات لا أكثر. القيد العددي مقصود، فهو يفرض قرارًا حول ما يُحتفَظ به وما يُستبعَد.</w:t>
      </w:r>
    </w:p>
    <w:p>
      <w:pPr>
        <w:bidi/>
        <w:spacing w:after="0" w:line="480"/>
        <w:ind w:firstLine="709"/>
        <w:jc w:val="both"/>
      </w:pPr>
      <w:r>
        <w:rPr>
          <w:rFonts w:ascii="Times New Roman" w:cs="Simplified Arabic" w:hAnsi="Times New Roman"/>
          <w:sz w:val="28"/>
          <w:szCs w:val="28"/>
          <w:rtl/>
        </w:rPr>
        <w:t xml:space="preserve">استُخدمت أداة التوليد النصّي بشكل مقيَّد في هذا الدرس. سُمِح للمجموعات بأن تطلب من الأداة جملة توضيحية واحدة عند التعثّر، بشرط أن تُعيد صياغتها بكلماتها قبل إدخالها إلى البطاقة. كان هذا القيد موضع مفاوضة مع التلاميذ أكثر من مرة، ويُعرَض في فصل المناقشة ما ظهر من ذلك.</w:t>
      </w:r>
    </w:p>
    <w:p>
      <w:pPr>
        <w:pStyle w:val="Heading3"/>
        <w:bidi/>
        <w:spacing w:after="200" w:before="320" w:line="480"/>
        <w:jc w:val="right"/>
      </w:pPr>
      <w:r>
        <w:rPr>
          <w:rFonts w:ascii="Times New Roman" w:cs="Simplified Arabic" w:hAnsi="Times New Roman"/>
          <w:b/>
          <w:bCs/>
          <w:color w:val="000000"/>
          <w:sz w:val="27"/>
          <w:szCs w:val="27"/>
          <w:rtl/>
        </w:rPr>
        <w:t xml:space="preserve">الدرس الثالث: الجهاز الدوري والبازل الرقمي</w:t>
      </w:r>
    </w:p>
    <w:p>
      <w:pPr>
        <w:bidi/>
        <w:spacing w:after="0" w:line="480"/>
        <w:ind w:firstLine="709"/>
        <w:jc w:val="both"/>
      </w:pPr>
      <w:r>
        <w:rPr>
          <w:rFonts w:ascii="Times New Roman" w:cs="Simplified Arabic" w:hAnsi="Times New Roman"/>
          <w:sz w:val="28"/>
          <w:szCs w:val="28"/>
          <w:rtl/>
        </w:rPr>
        <w:t xml:space="preserve">هذا هو الدرس الذي شكّل البازل محوره. عملت المجموعات على لوح Canva مشترك يحتوي رسمًا مقطّعًا للجهاز الدوري مع القلب، مقسّمًا إلى اثنتي عشرة قطعة قابلة للسحب، مع إطار فارغ توضع فيه القطع. المهمّة أن تُركّب المجموعة الصورة كاملة، ثم أن تسمّي ثلاث قطع وتشرح موقعها.</w:t>
      </w:r>
    </w:p>
    <w:p>
      <w:pPr>
        <w:bidi/>
        <w:spacing w:after="0" w:line="480"/>
        <w:ind w:firstLine="709"/>
        <w:jc w:val="both"/>
      </w:pPr>
      <w:r>
        <w:rPr>
          <w:rFonts w:ascii="Times New Roman" w:cs="Simplified Arabic" w:hAnsi="Times New Roman"/>
          <w:sz w:val="28"/>
          <w:szCs w:val="28"/>
          <w:rtl/>
        </w:rPr>
        <w:t xml:space="preserve">عدد القطع اثنتا عشرة وليس أكثر، وهذا قرار مبني على القيد الزمني. البازل الأكبر يستهلك الحصّة في التركيب ولا يبقي وقتًا للشرح، والبازل التركيبي بلا شرح يبقى نشاطًا حركيًّا. القطع صُمِّمت متفاوتة الحجم بحيث لا يمكن حلّ البازل بالتجربة العشوائية وحدها، فالقطعة الصغيرة قد تدخل في أكثر من موضع شكليًّا لكن مضمونها يحدّد موضعها الصحيح.</w:t>
      </w:r>
    </w:p>
    <w:p>
      <w:pPr>
        <w:bidi/>
        <w:spacing w:after="0" w:line="480"/>
        <w:ind w:firstLine="709"/>
        <w:jc w:val="both"/>
      </w:pPr>
      <w:r>
        <w:rPr>
          <w:rFonts w:ascii="Times New Roman" w:cs="Simplified Arabic" w:hAnsi="Times New Roman"/>
          <w:sz w:val="28"/>
          <w:szCs w:val="28"/>
          <w:rtl/>
        </w:rPr>
        <w:t xml:space="preserve">استُخدمت أخطاء التركيب كمعطى تشخيصي. سُجِّل موضع كلّ خطأ متكرّر بين المجموعات، وظهر أنّ الخطأ الأكثر تكرارًا هو الخلط في اتجاه الدورة بين الأذين والبطين. هذه المعلومة لم تكن ستظهر في اختبار كتابي بالسهولة نفسها.</w:t>
      </w:r>
    </w:p>
    <w:p>
      <w:pPr>
        <w:pStyle w:val="Heading3"/>
        <w:bidi/>
        <w:spacing w:after="200" w:before="320" w:line="480"/>
        <w:jc w:val="right"/>
      </w:pPr>
      <w:r>
        <w:rPr>
          <w:rFonts w:ascii="Times New Roman" w:cs="Simplified Arabic" w:hAnsi="Times New Roman"/>
          <w:b/>
          <w:bCs/>
          <w:color w:val="000000"/>
          <w:sz w:val="27"/>
          <w:szCs w:val="27"/>
          <w:rtl/>
        </w:rPr>
        <w:t xml:space="preserve">الدرس الرابع: الجهاز الهيكلي والعضلي</w:t>
      </w:r>
    </w:p>
    <w:p>
      <w:pPr>
        <w:bidi/>
        <w:spacing w:after="0" w:line="480"/>
        <w:ind w:firstLine="709"/>
        <w:jc w:val="both"/>
      </w:pPr>
      <w:r>
        <w:rPr>
          <w:rFonts w:ascii="Times New Roman" w:cs="Simplified Arabic" w:hAnsi="Times New Roman"/>
          <w:sz w:val="28"/>
          <w:szCs w:val="28"/>
          <w:rtl/>
        </w:rPr>
        <w:t xml:space="preserve">اعتمد هذا الدرس على ورقة عمل مطبوعة أُنتجت في Canva، ومهمّتها مطابقة العضلة بالعظم الذي تحرّكه وبالحركة الناتجة. استُخدمت هنا خصيصة تحويل القالب: العرض الذي أُعدّ للشاشة حُوِّل إلى ورقة عمل مطبوعة دون إعادة تصميم، ما وفّر وقتًا حقيقيًّا في الإعداد.</w:t>
      </w:r>
    </w:p>
    <w:p>
      <w:pPr>
        <w:bidi/>
        <w:spacing w:after="0" w:line="480"/>
        <w:ind w:firstLine="709"/>
        <w:jc w:val="both"/>
      </w:pPr>
      <w:r>
        <w:rPr>
          <w:rFonts w:ascii="Times New Roman" w:cs="Simplified Arabic" w:hAnsi="Times New Roman"/>
          <w:sz w:val="28"/>
          <w:szCs w:val="28"/>
          <w:rtl/>
        </w:rPr>
        <w:t xml:space="preserve">أُضيف إلى الدرس عنصر حركي بسيط. طُلب من التلاميذ أن ينفّذوا الحركة المذكورة في الورقة وأن يتحسّسوا العضلة العاملة قبل الكتابة. الغاية أن يقترن المفهوم بخبرة جسدية، لا أن يبقى اسمًا في جدول.</w:t>
      </w:r>
    </w:p>
    <w:p>
      <w:pPr>
        <w:pStyle w:val="Heading3"/>
        <w:bidi/>
        <w:spacing w:after="200" w:before="320" w:line="480"/>
        <w:jc w:val="right"/>
      </w:pPr>
      <w:r>
        <w:rPr>
          <w:rFonts w:ascii="Times New Roman" w:cs="Simplified Arabic" w:hAnsi="Times New Roman"/>
          <w:b/>
          <w:bCs/>
          <w:color w:val="000000"/>
          <w:sz w:val="27"/>
          <w:szCs w:val="27"/>
          <w:rtl/>
        </w:rPr>
        <w:t xml:space="preserve">الدرس الخامس: تكامل الأجهزة والتقويم الختامي</w:t>
      </w:r>
    </w:p>
    <w:p>
      <w:pPr>
        <w:bidi/>
        <w:spacing w:after="0" w:line="480"/>
        <w:ind w:firstLine="709"/>
        <w:jc w:val="both"/>
      </w:pPr>
      <w:r>
        <w:rPr>
          <w:rFonts w:ascii="Times New Roman" w:cs="Simplified Arabic" w:hAnsi="Times New Roman"/>
          <w:sz w:val="28"/>
          <w:szCs w:val="28"/>
          <w:rtl/>
        </w:rPr>
        <w:t xml:space="preserve">استُخدم في الدرس الأخير بازل مطبوع أكبر، يجمع الأجهزة الأربعة في صورة واحدة. المهمّة الأولى تركيبية، والثانية أهمّ: أن ترسم كلّ مجموعة سهمًا واحدًا يربط بين جهازين وأن تكتب على السهم ما ينقله أحدهما إلى الآخر. هذه المهمّة هي التي تقيس الهدف الأصعب في الوحدة، أي الانتقال من معرفة الأجهزة منفصلة إلى فهمها كمنظومة.</w:t>
      </w:r>
    </w:p>
    <w:p>
      <w:pPr>
        <w:bidi/>
        <w:spacing w:after="0" w:line="480"/>
        <w:ind w:firstLine="709"/>
        <w:jc w:val="both"/>
      </w:pPr>
      <w:r>
        <w:rPr>
          <w:rFonts w:ascii="Times New Roman" w:cs="Simplified Arabic" w:hAnsi="Times New Roman"/>
          <w:sz w:val="28"/>
          <w:szCs w:val="28"/>
          <w:rtl/>
        </w:rPr>
        <w:t xml:space="preserve">أُنتِج في ختام الدرس ملصق تجميعي واحد للصف، يحمل أعمال المجموعات الست، وعُلِّق في الصف. هذا ليس تفصيلًا تجميليًّا. المخرَج المرئي الباقي يجعل الوحدة مرجعًا يعود إليه التلاميذ في دروس لاحقة.</w:t>
      </w:r>
    </w:p>
    <w:p>
      <w:pPr>
        <w:pStyle w:val="Heading2"/>
        <w:bidi/>
        <w:spacing w:after="200" w:before="320" w:line="480"/>
        <w:jc w:val="right"/>
      </w:pPr>
      <w:r>
        <w:rPr>
          <w:rFonts w:ascii="Times New Roman" w:cs="Simplified Arabic" w:hAnsi="Times New Roman"/>
          <w:b/>
          <w:bCs/>
          <w:color w:val="000000"/>
          <w:sz w:val="29"/>
          <w:szCs w:val="29"/>
          <w:rtl/>
        </w:rPr>
        <w:t xml:space="preserve">بناء البازل في Canva: الخطوات</w:t>
      </w:r>
    </w:p>
    <w:p>
      <w:pPr>
        <w:bidi/>
        <w:spacing w:after="0" w:line="480"/>
        <w:ind w:firstLine="709"/>
        <w:jc w:val="both"/>
      </w:pPr>
      <w:r>
        <w:rPr>
          <w:rFonts w:ascii="Times New Roman" w:cs="Simplified Arabic" w:hAnsi="Times New Roman"/>
          <w:sz w:val="28"/>
          <w:szCs w:val="28"/>
          <w:rtl/>
        </w:rPr>
        <w:t xml:space="preserve">لأنّ Canva لا توفّر مولّد بازل جاهزًا، بُني البازل يدويًّا. يعرض الجدول الآتي المراحل التي مرّ بها البناء والمخرَج من كلّ مرحلة.</w:t>
      </w:r>
    </w:p>
    <w:p>
      <w:pPr>
        <w:bidi/>
        <w:spacing w:after="0" w:before="240" w:line="240"/>
        <w:jc w:val="right"/>
      </w:pPr>
      <w:r>
        <w:rPr>
          <w:rFonts w:ascii="Times New Roman" w:cs="Simplified Arabic" w:hAnsi="Times New Roman"/>
          <w:b/>
          <w:bCs/>
          <w:sz w:val="26"/>
          <w:szCs w:val="26"/>
          <w:rtl/>
        </w:rPr>
        <w:t xml:space="preserve">جدول 2</w:t>
      </w:r>
    </w:p>
    <w:p>
      <w:pPr>
        <w:bidi/>
        <w:spacing w:after="120" w:before="0" w:line="240"/>
        <w:jc w:val="right"/>
      </w:pPr>
      <w:r>
        <w:rPr>
          <w:rFonts w:ascii="Times New Roman" w:cs="Simplified Arabic" w:hAnsi="Times New Roman"/>
          <w:i/>
          <w:iCs/>
          <w:sz w:val="26"/>
          <w:szCs w:val="26"/>
          <w:rtl/>
        </w:rPr>
        <w:t xml:space="preserve">مراحل بناء البازل في Canva</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72"/>
        <w:gridCol w:w="4600"/>
        <w:gridCol w:w="2400"/>
      </w:tblGrid>
      <w:tr>
        <w:trPr>
          <w:tblHeader/>
        </w:trPr>
        <w:tc>
          <w:tcPr>
            <w:tcW w:type="dxa" w:w="2072"/>
            <w:shd w:fill="E8E8E8" w:color="auto" w:val="clear"/>
            <w:tcMar>
              <w:top w:type="dxa" w:w="80"/>
              <w:left w:type="dxa" w:w="100"/>
              <w:bottom w:type="dxa" w:w="80"/>
              <w:right w:type="dxa" w:w="100"/>
            </w:tcMar>
          </w:tcPr>
          <w:p>
            <w:pPr>
              <w:bidi/>
              <w:spacing w:after="0" w:line="240"/>
              <w:jc w:val="right"/>
            </w:pPr>
            <w:r>
              <w:rPr>
                <w:rFonts w:ascii="Times New Roman" w:cs="Simplified Arabic" w:hAnsi="Times New Roman"/>
                <w:b/>
                <w:bCs/>
                <w:sz w:val="24"/>
                <w:szCs w:val="24"/>
                <w:rtl/>
              </w:rPr>
              <w:t xml:space="preserve">المرحلة</w:t>
            </w:r>
          </w:p>
        </w:tc>
        <w:tc>
          <w:tcPr>
            <w:tcW w:type="dxa" w:w="4600"/>
            <w:shd w:fill="E8E8E8" w:color="auto" w:val="clear"/>
            <w:tcMar>
              <w:top w:type="dxa" w:w="80"/>
              <w:left w:type="dxa" w:w="100"/>
              <w:bottom w:type="dxa" w:w="80"/>
              <w:right w:type="dxa" w:w="100"/>
            </w:tcMar>
          </w:tcPr>
          <w:p>
            <w:pPr>
              <w:bidi/>
              <w:spacing w:after="0" w:line="240"/>
              <w:jc w:val="right"/>
            </w:pPr>
            <w:r>
              <w:rPr>
                <w:rFonts w:ascii="Times New Roman" w:cs="Simplified Arabic" w:hAnsi="Times New Roman"/>
                <w:b/>
                <w:bCs/>
                <w:sz w:val="24"/>
                <w:szCs w:val="24"/>
                <w:rtl/>
              </w:rPr>
              <w:t xml:space="preserve">الإجراء</w:t>
            </w:r>
          </w:p>
        </w:tc>
        <w:tc>
          <w:tcPr>
            <w:tcW w:type="dxa" w:w="2400"/>
            <w:shd w:fill="E8E8E8" w:color="auto" w:val="clear"/>
            <w:tcMar>
              <w:top w:type="dxa" w:w="80"/>
              <w:left w:type="dxa" w:w="100"/>
              <w:bottom w:type="dxa" w:w="80"/>
              <w:right w:type="dxa" w:w="100"/>
            </w:tcMar>
          </w:tcPr>
          <w:p>
            <w:pPr>
              <w:bidi/>
              <w:spacing w:after="0" w:line="240"/>
              <w:jc w:val="right"/>
            </w:pPr>
            <w:r>
              <w:rPr>
                <w:rFonts w:ascii="Times New Roman" w:cs="Simplified Arabic" w:hAnsi="Times New Roman"/>
                <w:b/>
                <w:bCs/>
                <w:sz w:val="24"/>
                <w:szCs w:val="24"/>
                <w:rtl/>
              </w:rPr>
              <w:t xml:space="preserve">المخرَج</w:t>
            </w:r>
          </w:p>
        </w:tc>
      </w:tr>
      <w:tr>
        <w:trPr>
          <w:tblHeader w:val="false"/>
        </w:trPr>
        <w:tc>
          <w:tcPr>
            <w:tcW w:type="dxa" w:w="2072"/>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إنتاج الصورة</w:t>
            </w:r>
          </w:p>
        </w:tc>
        <w:tc>
          <w:tcPr>
            <w:tcW w:type="dxa" w:w="4600"/>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توليد صورة للجهاز الدوري بوصف نصّي محدّد، ثم مراجعتها علميًّا واستبدال ما كان غير دقيق</w:t>
            </w:r>
          </w:p>
        </w:tc>
        <w:tc>
          <w:tcPr>
            <w:tcW w:type="dxa" w:w="2400"/>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صورة أساس بدقّة كافية للتقطيع</w:t>
            </w:r>
          </w:p>
        </w:tc>
      </w:tr>
      <w:tr>
        <w:trPr>
          <w:tblHeader w:val="false"/>
        </w:trPr>
        <w:tc>
          <w:tcPr>
            <w:tcW w:type="dxa" w:w="2072"/>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المعالجة والتسمية</w:t>
            </w:r>
          </w:p>
        </w:tc>
        <w:tc>
          <w:tcPr>
            <w:tcW w:type="dxa" w:w="4600"/>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إضافة أسماء الأعضاء كعناصر نصّية منفصلة، لا كجزء من الصورة المولَّدة</w:t>
            </w:r>
          </w:p>
        </w:tc>
        <w:tc>
          <w:tcPr>
            <w:tcW w:type="dxa" w:w="2400"/>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صورة مصحّحة ومسمّاة بالعربية</w:t>
            </w:r>
          </w:p>
        </w:tc>
      </w:tr>
      <w:tr>
        <w:trPr>
          <w:tblHeader w:val="false"/>
        </w:trPr>
        <w:tc>
          <w:tcPr>
            <w:tcW w:type="dxa" w:w="2072"/>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التقطيع</w:t>
            </w:r>
          </w:p>
        </w:tc>
        <w:tc>
          <w:tcPr>
            <w:tcW w:type="dxa" w:w="4600"/>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تقسيم الصورة إلى قطع باستخدام أشكال قصّ، وضبط حدود كلّ قطعة</w:t>
            </w:r>
          </w:p>
        </w:tc>
        <w:tc>
          <w:tcPr>
            <w:tcW w:type="dxa" w:w="2400"/>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اثنتا عشرة قطعة متفاوتة الحجم</w:t>
            </w:r>
          </w:p>
        </w:tc>
      </w:tr>
      <w:tr>
        <w:trPr>
          <w:tblHeader w:val="false"/>
        </w:trPr>
        <w:tc>
          <w:tcPr>
            <w:tcW w:type="dxa" w:w="2072"/>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النسخة الرقمية</w:t>
            </w:r>
          </w:p>
        </w:tc>
        <w:tc>
          <w:tcPr>
            <w:tcW w:type="dxa" w:w="4600"/>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نقل القطع إلى لوح Canva تفاعلي، وتثبيت إطار فارغ للتركيب، وتوزيع القطع مبعثرة</w:t>
            </w:r>
          </w:p>
        </w:tc>
        <w:tc>
          <w:tcPr>
            <w:tcW w:type="dxa" w:w="2400"/>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لوح تفاعلي جاهز للسحب</w:t>
            </w:r>
          </w:p>
        </w:tc>
      </w:tr>
      <w:tr>
        <w:trPr>
          <w:tblHeader w:val="false"/>
        </w:trPr>
        <w:tc>
          <w:tcPr>
            <w:tcW w:type="dxa" w:w="2072"/>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النسخة المطبوعة</w:t>
            </w:r>
          </w:p>
        </w:tc>
        <w:tc>
          <w:tcPr>
            <w:tcW w:type="dxa" w:w="4600"/>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تحويل التصميم إلى قالب طباعة، وإضافة خطوط قصّ، وإنتاج نسخة لكلّ مجموعة</w:t>
            </w:r>
          </w:p>
        </w:tc>
        <w:tc>
          <w:tcPr>
            <w:tcW w:type="dxa" w:w="2400"/>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ملفّ للطبع بحجم A3</w:t>
            </w:r>
          </w:p>
        </w:tc>
      </w:tr>
      <w:tr>
        <w:trPr>
          <w:tblHeader w:val="false"/>
        </w:trPr>
        <w:tc>
          <w:tcPr>
            <w:tcW w:type="dxa" w:w="2072"/>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التجربة والتعديل</w:t>
            </w:r>
          </w:p>
        </w:tc>
        <w:tc>
          <w:tcPr>
            <w:tcW w:type="dxa" w:w="4600"/>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تجربة التركيب مع تلميذين قبل الدرس، وتعديل قطعتين كانتا متشابهتين إلى حدّ الالتباس</w:t>
            </w:r>
          </w:p>
        </w:tc>
        <w:tc>
          <w:tcPr>
            <w:tcW w:type="dxa" w:w="2400"/>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بازل قابل للاستخدام في ثلاثة صفوف</w:t>
            </w:r>
          </w:p>
        </w:tc>
      </w:tr>
    </w:tbl>
    <w:p>
      <w:pPr>
        <w:spacing w:after="200"/>
      </w:pPr>
    </w:p>
    <w:p>
      <w:pPr>
        <w:bidi/>
        <w:spacing w:after="0" w:line="480"/>
        <w:ind w:firstLine="709"/>
        <w:jc w:val="both"/>
      </w:pPr>
      <w:r>
        <w:rPr>
          <w:rFonts w:ascii="Times New Roman" w:cs="Simplified Arabic" w:hAnsi="Times New Roman"/>
          <w:sz w:val="28"/>
          <w:szCs w:val="28"/>
          <w:rtl/>
        </w:rPr>
        <w:t xml:space="preserve">استغرق البناء الكامل نحو ثلاث ساعات في المرة الأولى. الجزء الأكبر من هذا الوقت لم يذهب إلى التصميم بل إلى مراجعة الصورة المولَّدة وتصحيحها، وهذه ملاحظة مركزية يُعاد إليها في المناقشة.</w:t>
      </w:r>
    </w:p>
    <w:p>
      <w:pPr>
        <w:pStyle w:val="Heading2"/>
        <w:bidi/>
        <w:spacing w:after="200" w:before="320" w:line="480"/>
        <w:jc w:val="right"/>
      </w:pPr>
      <w:r>
        <w:rPr>
          <w:rFonts w:ascii="Times New Roman" w:cs="Simplified Arabic" w:hAnsi="Times New Roman"/>
          <w:b/>
          <w:bCs/>
          <w:color w:val="000000"/>
          <w:sz w:val="29"/>
          <w:szCs w:val="29"/>
          <w:rtl/>
        </w:rPr>
        <w:t xml:space="preserve">التقويم والتغذية الراجعة</w:t>
      </w:r>
    </w:p>
    <w:p>
      <w:pPr>
        <w:bidi/>
        <w:spacing w:after="0" w:line="480"/>
        <w:ind w:firstLine="709"/>
        <w:jc w:val="both"/>
      </w:pPr>
      <w:r>
        <w:rPr>
          <w:rFonts w:ascii="Times New Roman" w:cs="Simplified Arabic" w:hAnsi="Times New Roman"/>
          <w:sz w:val="28"/>
          <w:szCs w:val="28"/>
          <w:rtl/>
        </w:rPr>
        <w:t xml:space="preserve">اعتُمد في الوحدة تقويم تكويني موزّع على الدروس، لا اختبار ختامي واحد. في كلّ درس أداة واحدة: أسئلة شفوية موجّهة في الدرس الأول، بطاقة منتَجة في الثاني، ملاحظة موثّقة أثناء العمل في الثالث، ورقة عمل في الرابع، ومهمّة الربط بين الأجهزة في الخامس. سلّم التقدير المستخدَم في تقويم البازل يُعرَض في الملحق ب.</w:t>
      </w:r>
    </w:p>
    <w:p>
      <w:pPr>
        <w:bidi/>
        <w:spacing w:after="0" w:line="480"/>
        <w:ind w:firstLine="709"/>
        <w:jc w:val="both"/>
      </w:pPr>
      <w:r>
        <w:rPr>
          <w:rFonts w:ascii="Times New Roman" w:cs="Simplified Arabic" w:hAnsi="Times New Roman"/>
          <w:sz w:val="28"/>
          <w:szCs w:val="28"/>
          <w:rtl/>
        </w:rPr>
        <w:t xml:space="preserve">التغذية الراجعة قُدِّمت شفويًّا وفي أثناء العمل لا بعده، وهي نقطة تتقاطع مع ما يرصده الأدب حول مجال التنفيذ، من حيث أنّ قيمة التغذية الراجعة المدعومة بالأدوات الرقمية تكمن في فوريّتها، أي في وصولها قبل أن يترسّخ الخطأ (Celik et al., 2022). في نهاية الوحدة وُزِّعت استمارة تغذية راجعة قصيرة على التلاميذ، أُنتجت هي أيضًا في Canva، وتُعرَض في الملحق ج.</w:t>
      </w:r>
    </w:p>
    <w:p>
      <w:pPr>
        <w:pStyle w:val="Heading2"/>
        <w:bidi/>
        <w:spacing w:after="200" w:before="320" w:line="480"/>
        <w:jc w:val="right"/>
      </w:pPr>
      <w:r>
        <w:rPr>
          <w:rFonts w:ascii="Times New Roman" w:cs="Simplified Arabic" w:hAnsi="Times New Roman"/>
          <w:b/>
          <w:bCs/>
          <w:color w:val="000000"/>
          <w:sz w:val="29"/>
          <w:szCs w:val="29"/>
          <w:rtl/>
        </w:rPr>
        <w:t xml:space="preserve">المراعاة الفارقية</w:t>
      </w:r>
    </w:p>
    <w:p>
      <w:pPr>
        <w:bidi/>
        <w:spacing w:after="0" w:line="480"/>
        <w:ind w:firstLine="709"/>
        <w:jc w:val="both"/>
      </w:pPr>
      <w:r>
        <w:rPr>
          <w:rFonts w:ascii="Times New Roman" w:cs="Simplified Arabic" w:hAnsi="Times New Roman"/>
          <w:sz w:val="28"/>
          <w:szCs w:val="28"/>
          <w:rtl/>
        </w:rPr>
        <w:t xml:space="preserve">بُنيت في الوحدة ثلاث نقاط تفريق. الأولى في مستوى المهمّة: البازل الرقمي أُعِدّ في نسختين، إحداهما باثنتي عشرة قطعة والأخرى بثماني قطع مع تسميات ظاهرة، وأُعطيت النسخة الأسهل للمجموعات التي تضمّ تلاميذ يواجهون صعوبة في القراءة. الثانية في مستوى المخرَج: سُمِح للتلميذ بأن يشرح شفويًّا بدلًا من الكتابة. الثالثة في مستوى الوقت.</w:t>
      </w:r>
    </w:p>
    <w:p>
      <w:pPr>
        <w:bidi/>
        <w:spacing w:after="0" w:line="480"/>
        <w:ind w:firstLine="709"/>
        <w:jc w:val="both"/>
      </w:pPr>
      <w:r>
        <w:rPr>
          <w:rFonts w:ascii="Times New Roman" w:cs="Simplified Arabic" w:hAnsi="Times New Roman"/>
          <w:sz w:val="28"/>
          <w:szCs w:val="28"/>
          <w:rtl/>
        </w:rPr>
        <w:t xml:space="preserve">هذا الشكل من التفريق يتقاطع مع ما يرصده الأدب من أنّ الفائدة الأوضح للأدوات التوليدية تظهر في إنتاج نسخ متعدّدة المستوى من المادة نفسها بجهد قليل، بما يخدم التعلّم المتمايز (Kasneci et al., 2023). إنتاج نسختين من البازل بخطّ اليد كان سيستهلك ضعف الوقت.</w:t>
      </w:r>
    </w:p>
    <w:p>
      <w:pPr>
        <w:pStyle w:val="Heading1"/>
        <w:pageBreakBefore/>
        <w:bidi/>
        <w:spacing w:after="200" w:before="0" w:line="480"/>
        <w:jc w:val="right"/>
      </w:pPr>
      <w:r>
        <w:rPr>
          <w:rFonts w:ascii="Times New Roman" w:cs="Simplified Arabic" w:hAnsi="Times New Roman"/>
          <w:b/>
          <w:bCs/>
          <w:color w:val="000000"/>
          <w:sz w:val="32"/>
          <w:szCs w:val="32"/>
          <w:rtl/>
        </w:rPr>
        <w:t xml:space="preserve">المناقشة</w:t>
      </w:r>
    </w:p>
    <w:p>
      <w:pPr>
        <w:bidi/>
        <w:spacing w:after="0" w:line="480"/>
        <w:ind w:firstLine="709"/>
        <w:jc w:val="both"/>
      </w:pPr>
      <w:r>
        <w:rPr>
          <w:rFonts w:ascii="Times New Roman" w:cs="Simplified Arabic" w:hAnsi="Times New Roman"/>
          <w:sz w:val="28"/>
          <w:szCs w:val="28"/>
          <w:rtl/>
        </w:rPr>
        <w:t xml:space="preserve">يمكن تلخيص ما تحقّق في الوحدة في ثلاث نقاط. الأولى أنّ المادة البصرية توافرت بكمّية ونوعية لم تكن ممكنة بالإعداد اليدوي في الوقت المتاح، وهذا يتقاطع مع ما رصده سيليك وآخرون في مجال التخطيط (Celik et al., 2022). الثانية أنّ البازل نقل الدرس من شرح إلى عمل، وأنّ الحديث داخل المجموعات كان علميًّا في مضمونه لا تنظيميًّا فقط، وهو ما يوافق النتيجة المزدوجة التي وجدتها الدراسة المحلية حول دمج أدوات اللعب الرقمي في العلوم الابتدائية ("أثر دمج التكنولوجيا المتقدمة"، 2024). الثالثة أنّ أخطاء التركيب أعطت معلومة تشخيصية دقيقة ومباشرة.</w:t>
      </w:r>
    </w:p>
    <w:p>
      <w:pPr>
        <w:bidi/>
        <w:spacing w:after="0" w:line="480"/>
        <w:ind w:firstLine="709"/>
        <w:jc w:val="both"/>
      </w:pPr>
      <w:r>
        <w:rPr>
          <w:rFonts w:ascii="Times New Roman" w:cs="Simplified Arabic" w:hAnsi="Times New Roman"/>
          <w:sz w:val="28"/>
          <w:szCs w:val="28"/>
          <w:rtl/>
        </w:rPr>
        <w:t xml:space="preserve">وتعثّرت أمور. أوّلها دقّة الصور المولَّدة. الصورة الأولى للجهاز الدوري وضعت الأذينين في موضع البطينين، والصورة الأولى للجهاز الهضمي أظهرت أمعاءً بطول غير معقول. لو استُخدمت هذه الصور كما وردت لكانت الوحدة قد أنتجت تصوّرات بديلة خاطئة بدلًا من أن تصحّحها. هذه المشكلة بالضبط ما يحذّر منه الأدب حين يتحدّث عن ثقة النموذج التي لا تعكس صحّة مخرجاته (Kasneci et al., 2023)، وهي في مادة كالعلوم أخطر منها في غيرها (Almasri, 2024).</w:t>
      </w:r>
    </w:p>
    <w:p>
      <w:pPr>
        <w:bidi/>
        <w:spacing w:after="0" w:line="480"/>
        <w:ind w:firstLine="709"/>
        <w:jc w:val="both"/>
      </w:pPr>
      <w:r>
        <w:rPr>
          <w:rFonts w:ascii="Times New Roman" w:cs="Simplified Arabic" w:hAnsi="Times New Roman"/>
          <w:sz w:val="28"/>
          <w:szCs w:val="28"/>
          <w:rtl/>
        </w:rPr>
        <w:t xml:space="preserve">ثانيها اللغة. النصّ العربي المولَّد داخل الصور جاء مقطّع الحروف وغير قابل للاستخدام في كلّ المحاولات. الحلّ كان بنيويًّا: توليد الصورة بلا نصّ، وإضافة الأسماء كعناصر نصّية منفصلة. هذا الحلّ نجح لكنّه أضاف خطوة إلى كلّ تصميم، وهو عائق لا يظهر في الأدبيات المكتوبة بالإنجليزية لأنّه لا يقع فيها.</w:t>
      </w:r>
    </w:p>
    <w:p>
      <w:pPr>
        <w:bidi/>
        <w:spacing w:after="0" w:line="480"/>
        <w:ind w:firstLine="709"/>
        <w:jc w:val="both"/>
      </w:pPr>
      <w:r>
        <w:rPr>
          <w:rFonts w:ascii="Times New Roman" w:cs="Simplified Arabic" w:hAnsi="Times New Roman"/>
          <w:sz w:val="28"/>
          <w:szCs w:val="28"/>
          <w:rtl/>
        </w:rPr>
        <w:t xml:space="preserve">ثالثها الوقت. الثلاث ساعات التي استهلكها بناء البازل تتجاوز ما تستطيع معلّمة تخصيصه لنشاط واحد في ظروف عمل عادية. القول إنّ الذكاء الاصطناعي يوفّر الوقت صحيح على المدى المتوسّط وغير صحيح في المرة الأولى، لأنّ منحنى التعلّم يُستهلك من وقت المعلّمة لا من وقت أحد آخر. هذا يفسّر جزءًا مما يرصده تقرير الكنيست، حيث يبقى التوظيف الفعلي محدودًا رغم توافر الأدوات ورغم السياسة الداعمة، لأنّ كلفة التعلّم الأولى تقع على وقت المعلّم وحده (מרכז המחקר והמידע של הכנסת، 2024).</w:t>
      </w:r>
    </w:p>
    <w:p>
      <w:pPr>
        <w:bidi/>
        <w:spacing w:after="0" w:line="480"/>
        <w:ind w:firstLine="709"/>
        <w:jc w:val="both"/>
      </w:pPr>
      <w:r>
        <w:rPr>
          <w:rFonts w:ascii="Times New Roman" w:cs="Simplified Arabic" w:hAnsi="Times New Roman"/>
          <w:sz w:val="28"/>
          <w:szCs w:val="28"/>
          <w:rtl/>
        </w:rPr>
        <w:t xml:space="preserve">رابعها مسألة استخدام التلاميذ للأداة. حين سُمِح للمجموعات بطلب جملة توضيحية واحدة، ظهر ميل إلى نسخ الجملة كما هي، وتكرّرت الحاجة إلى التذكير بشرط إعادة الصياغة. المسألة ليست انضباطًا صفّيًّا بل حاجة إلى قاعدة معلَنة مسبقًا، وهو تحديدًا ما توصي به وثيقة اليونسكو حين تطلب من المؤسّسة أن تحدّد الاستخدام المقبول قبل أن يقع الخلاف (اليونسكو، 2023).</w:t>
      </w:r>
    </w:p>
    <w:p>
      <w:pPr>
        <w:bidi/>
        <w:spacing w:after="0" w:line="480"/>
        <w:ind w:firstLine="709"/>
        <w:jc w:val="both"/>
      </w:pPr>
      <w:r>
        <w:rPr>
          <w:rFonts w:ascii="Times New Roman" w:cs="Simplified Arabic" w:hAnsi="Times New Roman"/>
          <w:sz w:val="28"/>
          <w:szCs w:val="28"/>
          <w:rtl/>
        </w:rPr>
        <w:t xml:space="preserve">نقطة أخيرة تتعلّق بالإطار النظري. عند مراجعة ما جرى في ضوء إطار TPACK يتّضح أنّ المعرفة التي كانت مطلوبة فعلًا لم تكن تقنية. تشغيل Canva استغرق وقتًا قصيرًا. القرار الصعب كان في تحديد ما يصلح للبازل وما لا يصلح: موقع الأعضاء يصلح لأنّه معرفة مكانية، ووظيفة الإنزيمات لا تصلح لأنّها معرفة إجرائية لا تُمثَّل بالتركيب. هذا القرار يقع في منطقة تقاطع المعرفة الثلاثية، وهو ما لا تعلّمه دورة تقنية (Mishra &amp; Koehler, 2006).</w:t>
      </w:r>
    </w:p>
    <w:p>
      <w:pPr>
        <w:bidi/>
        <w:spacing w:after="0" w:line="480"/>
        <w:ind w:firstLine="709"/>
        <w:jc w:val="both"/>
      </w:pPr>
      <w:r>
        <w:rPr>
          <w:rFonts w:ascii="Times New Roman" w:cs="Simplified Arabic" w:hAnsi="Times New Roman"/>
          <w:sz w:val="28"/>
          <w:szCs w:val="28"/>
          <w:rtl/>
        </w:rPr>
        <w:t xml:space="preserve">وتبقى ملاحظة تخصّ حدود هذا العمل. ما يُعرَض هنا تصميم وحدة وتوثيق تنفيذها، لا دراسة تجريبية. لا توجد مجموعة ضابطة ولا قياس قبلي وبعدي، والملاحظات المذكورة ملاحظات معلّمة في صفّها. لذلك لا يصحّ استخلاص أثر مقارَن من هذه التجربة، وإنّما استخلاص قابلية تطبيق.</w:t>
      </w:r>
    </w:p>
    <w:p>
      <w:pPr>
        <w:pStyle w:val="Heading1"/>
        <w:pageBreakBefore/>
        <w:bidi/>
        <w:spacing w:after="200" w:before="0" w:line="480"/>
        <w:jc w:val="right"/>
      </w:pPr>
      <w:r>
        <w:rPr>
          <w:rFonts w:ascii="Times New Roman" w:cs="Simplified Arabic" w:hAnsi="Times New Roman"/>
          <w:b/>
          <w:bCs/>
          <w:color w:val="000000"/>
          <w:sz w:val="32"/>
          <w:szCs w:val="32"/>
          <w:rtl/>
        </w:rPr>
        <w:t xml:space="preserve">الخلاصة والتوصيات التطبيقية</w:t>
      </w:r>
    </w:p>
    <w:p>
      <w:pPr>
        <w:bidi/>
        <w:spacing w:after="0" w:line="480"/>
        <w:ind w:firstLine="709"/>
        <w:jc w:val="both"/>
      </w:pPr>
      <w:r>
        <w:rPr>
          <w:rFonts w:ascii="Times New Roman" w:cs="Simplified Arabic" w:hAnsi="Times New Roman"/>
          <w:sz w:val="28"/>
          <w:szCs w:val="28"/>
          <w:rtl/>
        </w:rPr>
        <w:t xml:space="preserve">انطلق هذا العمل من ثلاثة أسئلة. عن السؤال الأول، أظهر عرض الأدبيات أنّ الفرص موزّعة على التخطيط والتنفيذ والتقويم، وأنّ الأدلّة على أثر هذه الأدوات على التعلّم أضعف مما توحي به لهجة التبشير، وأنّ القيود المتكرّرة تتصل بالتأهيل وبالبنية التحتية وبالأخلاقيات (מרכז המחקר והמידע של הכנסת، 2024؛ Chiu et al., 2023). عن السؤال الثاني، أظهر التصميم أنّ أداة واحدة تكفي لبناء وحدة كاملة، وأنّ الاكتفاء بأداة واحدة ميزة لا نقص، لأنّه يوفّر وقت التعلّم للمحتوى بدلًا من الواجهة. عن السؤال الثالث، تبيّن أنّ الحدّ الأكبر ليس في قدرة الأداة بل في دقّة مخرجاتها العلمية وفي أدائها بالعربية.</w:t>
      </w:r>
    </w:p>
    <w:p>
      <w:pPr>
        <w:bidi/>
        <w:spacing w:after="0" w:line="480"/>
        <w:ind w:firstLine="709"/>
        <w:jc w:val="both"/>
      </w:pPr>
      <w:r>
        <w:rPr>
          <w:rFonts w:ascii="Times New Roman" w:cs="Simplified Arabic" w:hAnsi="Times New Roman"/>
          <w:sz w:val="28"/>
          <w:szCs w:val="28"/>
          <w:rtl/>
        </w:rPr>
        <w:t xml:space="preserve">التمييز الذي انطلق منه العمل بين استخدام الأداة ودمجها يعود هنا بصياغة أوضح. الاستخدام يقاس بعدد المواد المنتَجة، والدمج يقاس بما تغيّر في بنية الدرس. في الوحدة المعروضة تغيّر ثلاثة أمور: انتقل التلميذ من مستقبل إلى منتِج للمادة البصرية، وصار الخطأ معطى تشخيصيًّا معلَنًا بدلًا من أن يكون علامة تُخفَض، وانتقل التقويم من نقطة واحدة في النهاية إلى خمس نقاط موزّعة. هذه هي الفروق التي تجعل الأمر دمجًا.</w:t>
      </w:r>
    </w:p>
    <w:p>
      <w:pPr>
        <w:bidi/>
        <w:spacing w:after="0" w:line="480"/>
        <w:ind w:firstLine="709"/>
        <w:jc w:val="both"/>
      </w:pPr>
      <w:r>
        <w:rPr>
          <w:rFonts w:ascii="Times New Roman" w:cs="Simplified Arabic" w:hAnsi="Times New Roman"/>
          <w:sz w:val="28"/>
          <w:szCs w:val="28"/>
          <w:rtl/>
        </w:rPr>
        <w:t xml:space="preserve">على مستوى العمل اليومي في المدرسة تُقترَح التوصيات الآتية، وهي مصوغة لتكون قابلة للتنفيذ في الفصل القادم لا لتكون مبادئ عامة.</w:t>
      </w:r>
    </w:p>
    <w:p>
      <w:pPr>
        <w:pStyle w:val="ListParagraph"/>
        <w:numPr>
          <w:ilvl w:val="0"/>
          <w:numId w:val="2"/>
        </w:numPr>
        <w:bidi/>
        <w:spacing w:after="0" w:line="480"/>
        <w:jc w:val="both"/>
      </w:pPr>
      <w:r>
        <w:rPr>
          <w:rFonts w:ascii="Times New Roman" w:cs="Simplified Arabic" w:hAnsi="Times New Roman"/>
          <w:sz w:val="28"/>
          <w:szCs w:val="28"/>
          <w:rtl/>
        </w:rPr>
        <w:t xml:space="preserve">اعتماد قاعدة مراجعة إلزامية لكلّ مادة علمية مولَّدة: لا تدخل صورة أو نصّ إلى الدرس قبل مقارنته بمرجع المنهج المقرّر، مع تخصيص خمس عشرة دقيقة لهذه المراجعة في تحضير كلّ درس.</w:t>
      </w:r>
    </w:p>
    <w:p>
      <w:pPr>
        <w:pStyle w:val="ListParagraph"/>
        <w:numPr>
          <w:ilvl w:val="0"/>
          <w:numId w:val="2"/>
        </w:numPr>
        <w:bidi/>
        <w:spacing w:after="0" w:line="480"/>
        <w:jc w:val="both"/>
      </w:pPr>
      <w:r>
        <w:rPr>
          <w:rFonts w:ascii="Times New Roman" w:cs="Simplified Arabic" w:hAnsi="Times New Roman"/>
          <w:sz w:val="28"/>
          <w:szCs w:val="28"/>
          <w:rtl/>
        </w:rPr>
        <w:t xml:space="preserve">بناء مكتبة مشتركة على مستوى طاقم العلوم في المدرسة، تُرفَع إليها المواد التي جرت مراجعتها مع اسم من راجعها وتاريخ المراجعة، بحيث لا يُكرِّر أحد بناء ما بُني.</w:t>
      </w:r>
    </w:p>
    <w:p>
      <w:pPr>
        <w:pStyle w:val="ListParagraph"/>
        <w:numPr>
          <w:ilvl w:val="0"/>
          <w:numId w:val="2"/>
        </w:numPr>
        <w:bidi/>
        <w:spacing w:after="0" w:line="480"/>
        <w:jc w:val="both"/>
      </w:pPr>
      <w:r>
        <w:rPr>
          <w:rFonts w:ascii="Times New Roman" w:cs="Simplified Arabic" w:hAnsi="Times New Roman"/>
          <w:sz w:val="28"/>
          <w:szCs w:val="28"/>
          <w:rtl/>
        </w:rPr>
        <w:t xml:space="preserve">تخصيص جلسة شهرية من جلسات الطاقم لعرض أداة واحدة على محتوى واحد بعينه، لا لعرض أدوات عامة، لأنّ التأهيل الفعّال هو الذي يربط الأداة بممارسة تدريسية ملموسة (ליבוביץ، 2025).</w:t>
      </w:r>
    </w:p>
    <w:p>
      <w:pPr>
        <w:pStyle w:val="ListParagraph"/>
        <w:numPr>
          <w:ilvl w:val="0"/>
          <w:numId w:val="2"/>
        </w:numPr>
        <w:bidi/>
        <w:spacing w:after="0" w:line="480"/>
        <w:jc w:val="both"/>
      </w:pPr>
      <w:r>
        <w:rPr>
          <w:rFonts w:ascii="Times New Roman" w:cs="Simplified Arabic" w:hAnsi="Times New Roman"/>
          <w:sz w:val="28"/>
          <w:szCs w:val="28"/>
          <w:rtl/>
        </w:rPr>
        <w:t xml:space="preserve">إعلان قاعدة استخدام مكتوبة للتلاميذ قبل أوّل نشاط، تحدّد ما يُسمَح به وما لا يُسمَح، وتُعلَّق في الصف بصياغة يفهمها تلميذ في العاشرة (اليونسكو، 2023؛ משרד החינוך، 2023).</w:t>
      </w:r>
    </w:p>
    <w:p>
      <w:pPr>
        <w:pStyle w:val="ListParagraph"/>
        <w:numPr>
          <w:ilvl w:val="0"/>
          <w:numId w:val="2"/>
        </w:numPr>
        <w:bidi/>
        <w:spacing w:after="0" w:line="480"/>
        <w:jc w:val="both"/>
      </w:pPr>
      <w:r>
        <w:rPr>
          <w:rFonts w:ascii="Times New Roman" w:cs="Simplified Arabic" w:hAnsi="Times New Roman"/>
          <w:sz w:val="28"/>
          <w:szCs w:val="28"/>
          <w:rtl/>
        </w:rPr>
        <w:t xml:space="preserve">عدم فتح حسابات للتلاميذ في أدوات توليدية في هذه المرحلة العمرية، وإبقاء التفاعل مع الأداة بيد المعلّمة، التزامًا بتوجيهات الوزارة للمرحلة الابتدائية وبمبدأ أعلى درجات الحماية للطفل (يونيسف، 2021؛ משרד החינוך، 2023).</w:t>
      </w:r>
    </w:p>
    <w:p>
      <w:pPr>
        <w:pStyle w:val="ListParagraph"/>
        <w:numPr>
          <w:ilvl w:val="0"/>
          <w:numId w:val="2"/>
        </w:numPr>
        <w:bidi/>
        <w:spacing w:after="0" w:line="480"/>
        <w:jc w:val="both"/>
      </w:pPr>
      <w:r>
        <w:rPr>
          <w:rFonts w:ascii="Times New Roman" w:cs="Simplified Arabic" w:hAnsi="Times New Roman"/>
          <w:sz w:val="28"/>
          <w:szCs w:val="28"/>
          <w:rtl/>
        </w:rPr>
        <w:t xml:space="preserve">توثيق أخطاء التلاميذ المتكرّرة في نشاط التركيب في جدول واحد يُراجَع في نهاية الوحدة، لأنّه أعطى معلومة تشخيصية أدقّ من الاختبار الكتابي.</w:t>
      </w:r>
    </w:p>
    <w:p>
      <w:pPr>
        <w:bidi/>
        <w:spacing w:after="0" w:line="480"/>
        <w:ind w:firstLine="709"/>
        <w:jc w:val="both"/>
      </w:pPr>
      <w:r>
        <w:rPr>
          <w:rFonts w:ascii="Times New Roman" w:cs="Simplified Arabic" w:hAnsi="Times New Roman"/>
          <w:sz w:val="28"/>
          <w:szCs w:val="28"/>
          <w:rtl/>
        </w:rPr>
        <w:t xml:space="preserve">التوصية الأخيرة تخصّ من يخطّط التأهيل. المسح البحثي الواسع لاحظ غياب المعلّمين عن البحث في هذا المجال (Zawacki-Richter et al., 2019)، والدراسة المحلية لاحظت الفجوة نفسها داخل المؤسّسات: سياسة مكتوبة من جهة، وممارسة فردية بلا نقاش جماعي من جهة أخرى (דוידוביץ' וודמני، 2025). المعالجة ليست دورة إضافية بل إطار يجعل خبرة المعلّم قابلة للتراكم: توثيق ومشاركة ومراجعة جماعية.</w:t>
      </w:r>
    </w:p>
    <w:p>
      <w:pPr>
        <w:pStyle w:val="Heading1"/>
        <w:pageBreakBefore/>
        <w:bidi/>
        <w:spacing w:after="200" w:before="0" w:line="480"/>
        <w:jc w:val="right"/>
      </w:pPr>
      <w:r>
        <w:rPr>
          <w:rFonts w:ascii="Times New Roman" w:cs="Simplified Arabic" w:hAnsi="Times New Roman"/>
          <w:b/>
          <w:bCs/>
          <w:color w:val="000000"/>
          <w:sz w:val="32"/>
          <w:szCs w:val="32"/>
          <w:rtl/>
        </w:rPr>
        <w:t xml:space="preserve">رفلكسيا</w:t>
      </w:r>
    </w:p>
    <w:p>
      <w:pPr>
        <w:bidi/>
        <w:spacing w:after="0" w:line="480"/>
        <w:ind w:firstLine="709"/>
        <w:jc w:val="both"/>
      </w:pPr>
      <w:r>
        <w:rPr>
          <w:rFonts w:ascii="Times New Roman" w:cs="Simplified Arabic" w:hAnsi="Times New Roman"/>
          <w:sz w:val="28"/>
          <w:szCs w:val="28"/>
          <w:rtl/>
        </w:rPr>
        <w:t xml:space="preserve">دخلت إلى هذا الموضوع بموقف يجمع بين اهتمام وتحفّظ. الاهتمام مصدره أنّني أرى بعينيّ كم من الوقت يذهب في إعداد مواد بصرية بسيطة، والتحفّظ مصدره أنّني سمعت الكلام نفسه عن اللوح الذكي وعن التطبيقات وعن الفيديو التعليمي، وكل مرة كان الوعد أكبر من الأثر.</w:t>
      </w:r>
    </w:p>
    <w:p>
      <w:pPr>
        <w:bidi/>
        <w:spacing w:after="0" w:line="480"/>
        <w:ind w:firstLine="709"/>
        <w:jc w:val="both"/>
      </w:pPr>
      <w:r>
        <w:rPr>
          <w:rFonts w:ascii="Times New Roman" w:cs="Simplified Arabic" w:hAnsi="Times New Roman"/>
          <w:sz w:val="28"/>
          <w:szCs w:val="28"/>
          <w:rtl/>
        </w:rPr>
        <w:t xml:space="preserve">أوّل ما تعلّمته لم يكن عن الأداة بل عن نفسي. حين وجدت الصورة المولَّدة الأولى للجهاز الدوري كنت على وشك استخدامها. كانت جميلة، والوقت كان ضيّقًا، والخطأ في موضع الأذينين ليس خطأً يلفت النظر من النظرة الأولى. لولا أنّني رجعت إلى الكتاب لأتأكّد من تسمية كنت سأعلّم أطفالًا شيئًا خاطئًا بثقة كاملة. هذه اللحظة هي أهمّ ما خرجت به من هذا العمل، وهي ليست لحظة مريحة.</w:t>
      </w:r>
    </w:p>
    <w:p>
      <w:pPr>
        <w:bidi/>
        <w:spacing w:after="0" w:line="480"/>
        <w:ind w:firstLine="709"/>
        <w:jc w:val="both"/>
      </w:pPr>
      <w:r>
        <w:rPr>
          <w:rFonts w:ascii="Times New Roman" w:cs="Simplified Arabic" w:hAnsi="Times New Roman"/>
          <w:sz w:val="28"/>
          <w:szCs w:val="28"/>
          <w:rtl/>
        </w:rPr>
        <w:t xml:space="preserve">تعلّمت أيضًا شيئًا أقلّ إرضاءً عن ميلي إلى الإتقان الشكلي. أنفقت وقتًا طويلًا على شكل البازل، على تناسق الألوان وعلى استقامة الحدود، أكثر مما أنفقت على السؤال الأهمّ: هل هذا المحتوى يصلح للتركيب أصلًا؟ اكتشفت متأخّرة أنّ ما كنت أعدّه عن الإنزيمات لا يصلح لبازل، وأنّ الأمر ليس عيبًا في الأداة بل عيب في اختياري. الأدوات الجميلة تُغري بأن يُصمَّم النشاط لها بدلًا من أن تُختار هي للنشاط.</w:t>
      </w:r>
    </w:p>
    <w:p>
      <w:pPr>
        <w:bidi/>
        <w:spacing w:after="0" w:line="480"/>
        <w:ind w:firstLine="709"/>
        <w:jc w:val="both"/>
      </w:pPr>
      <w:r>
        <w:rPr>
          <w:rFonts w:ascii="Times New Roman" w:cs="Simplified Arabic" w:hAnsi="Times New Roman"/>
          <w:sz w:val="28"/>
          <w:szCs w:val="28"/>
          <w:rtl/>
        </w:rPr>
        <w:t xml:space="preserve">وكان الجزء الأصعب هو التنازل عن مركزيّتي في الدرس. في الدرس الثالث، وأنا أرى ست مجموعات تعمل وتتجادل وتُخطئ، شعرت للحظات بأنّني عاطلة عن العمل. الرغبة في التدخّل وتصحيح كلّ قطعة في موضعها كانت قوية جدًّا، وأدركت أنّها رغبتي أنا لا حاجة التلاميذ. الجدال حول موضع القطعة كان هو التعلّم نفسه، وتدخّلي كان سيوقفه.</w:t>
      </w:r>
    </w:p>
    <w:p>
      <w:pPr>
        <w:bidi/>
        <w:spacing w:after="0" w:line="480"/>
        <w:ind w:firstLine="709"/>
        <w:jc w:val="both"/>
      </w:pPr>
      <w:r>
        <w:rPr>
          <w:rFonts w:ascii="Times New Roman" w:cs="Simplified Arabic" w:hAnsi="Times New Roman"/>
          <w:sz w:val="28"/>
          <w:szCs w:val="28"/>
          <w:rtl/>
        </w:rPr>
        <w:t xml:space="preserve">ما زلت غير محسومة في مسألة واحدة: ماذا أقول للتلاميذ عن هذه الأدوات. تركهم يستخدمونها بلا قاعدة يعلّمهم النسخ، ومنعهم كليًّا يعلّمهم أنّ المدرسة منفصلة عن حياتهم. جرّبت في هذه الوحدة حدًّا وسطًا، وأشعر أنّه كان ضيّقًا أكثر من اللازم. في الوحدة القادمة أريد أن أجرّب العكس: أن أعطي المجموعات نصًّا مولَّدًا فيه خطأ مقصود، وأن تكون مهمّتها العثور عليه. أظنّ أنّ هذا يعلّم عن الذكاء الاصطناعي أكثر من أيّ قاعدة أكتبها على اللوح.</w:t>
      </w:r>
    </w:p>
    <w:p>
      <w:pPr>
        <w:bidi/>
        <w:spacing w:after="0" w:line="480"/>
        <w:ind w:firstLine="709"/>
        <w:jc w:val="both"/>
      </w:pPr>
      <w:r>
        <w:rPr>
          <w:rFonts w:ascii="Times New Roman" w:cs="Simplified Arabic" w:hAnsi="Times New Roman"/>
          <w:sz w:val="28"/>
          <w:szCs w:val="28"/>
          <w:rtl/>
        </w:rPr>
        <w:t xml:space="preserve">وأخيرًا، تغيّرت قراءتي للأدبيات نفسها. قبل التنفيذ كنت أقرأ النتائج التي تقول إنّ درجة التوظيف "متوسطة" وأفسّرها كنقص في التأهيل. بعد أن أنفقت ثلاث ساعات على بازل واحد صرت أقرأها بشكل آخر: هذه الدرجة المتوسطة ليست بالضرورة عجزًا، وقد تكون قرارًا عمليًّا عقلانيًّا من معلّمين يحسبون ما يملكونه من وقت.</w:t>
      </w:r>
    </w:p>
    <w:p>
      <w:pPr>
        <w:pStyle w:val="Heading1"/>
        <w:pageBreakBefore/>
        <w:bidi/>
        <w:spacing w:after="200" w:before="0" w:line="480"/>
        <w:jc w:val="right"/>
      </w:pPr>
      <w:r>
        <w:rPr>
          <w:rFonts w:ascii="Times New Roman" w:cs="Simplified Arabic" w:hAnsi="Times New Roman"/>
          <w:b/>
          <w:bCs/>
          <w:color w:val="000000"/>
          <w:sz w:val="32"/>
          <w:szCs w:val="32"/>
          <w:rtl/>
        </w:rPr>
        <w:t xml:space="preserve">قائمة المراجع</w:t>
      </w:r>
    </w:p>
    <w:p>
      <w:pPr>
        <w:bidi/>
        <w:spacing w:after="0" w:line="480"/>
        <w:ind w:start="709" w:hanging="709"/>
        <w:jc w:val="right"/>
      </w:pPr>
      <w:r>
        <w:rPr>
          <w:rFonts w:ascii="Times New Roman" w:cs="Simplified Arabic" w:hAnsi="Times New Roman"/>
          <w:i w:val="false"/>
          <w:iCs w:val="false"/>
          <w:sz w:val="28"/>
          <w:szCs w:val="28"/>
          <w:rtl/>
        </w:rPr>
        <w:t xml:space="preserve">أثر دمج التكنولوجيا المتقدمة وأدوات التعلم الرقمي في تدريس العلوم على فهم المصطلحات العلمية والدافعية للتعلم لدى طلاب المدارس الابتدائية. (2024). </w:t>
      </w:r>
      <w:r>
        <w:rPr>
          <w:rFonts w:ascii="Times New Roman" w:cs="Simplified Arabic" w:hAnsi="Times New Roman"/>
          <w:i/>
          <w:iCs/>
          <w:sz w:val="28"/>
          <w:szCs w:val="28"/>
          <w:rtl/>
        </w:rPr>
        <w:t xml:space="preserve">جامعة: أبحاث في العلوم التربوية والاجتماعية، 25</w:t>
      </w:r>
      <w:r>
        <w:rPr>
          <w:rFonts w:ascii="Times New Roman" w:cs="Simplified Arabic" w:hAnsi="Times New Roman"/>
          <w:i w:val="false"/>
          <w:iCs w:val="false"/>
          <w:sz w:val="28"/>
          <w:szCs w:val="28"/>
          <w:rtl/>
        </w:rPr>
        <w:t xml:space="preserve">(1). أكاديمية القاسمي. https://ojs.qsm.ac.il/index.php/jamiaa/article/view/939</w:t>
      </w:r>
    </w:p>
    <w:p>
      <w:pPr>
        <w:bidi/>
        <w:spacing w:after="0" w:line="480"/>
        <w:ind w:start="709" w:hanging="709"/>
        <w:jc w:val="right"/>
      </w:pPr>
      <w:r>
        <w:rPr>
          <w:rFonts w:ascii="Times New Roman" w:cs="Simplified Arabic" w:hAnsi="Times New Roman"/>
          <w:i w:val="false"/>
          <w:iCs w:val="false"/>
          <w:sz w:val="28"/>
          <w:szCs w:val="28"/>
          <w:rtl/>
        </w:rPr>
        <w:t xml:space="preserve">كانفا (ل.ت.). </w:t>
      </w:r>
      <w:r>
        <w:rPr>
          <w:rFonts w:ascii="Times New Roman" w:cs="Simplified Arabic" w:hAnsi="Times New Roman"/>
          <w:i/>
          <w:iCs/>
          <w:sz w:val="28"/>
          <w:szCs w:val="28"/>
          <w:rtl/>
        </w:rPr>
        <w:t xml:space="preserve">معلومات عن Canva for Education</w:t>
      </w:r>
      <w:r>
        <w:rPr>
          <w:rFonts w:ascii="Times New Roman" w:cs="Simplified Arabic" w:hAnsi="Times New Roman"/>
          <w:i w:val="false"/>
          <w:iCs w:val="false"/>
          <w:sz w:val="28"/>
          <w:szCs w:val="28"/>
          <w:rtl/>
        </w:rPr>
        <w:t xml:space="preserve">. مركز مساعدة كانفا. https://www.canva.com/help/about-canva-for-education/</w:t>
      </w:r>
    </w:p>
    <w:p>
      <w:pPr>
        <w:bidi/>
        <w:spacing w:after="0" w:line="480"/>
        <w:ind w:start="709" w:hanging="709"/>
        <w:jc w:val="right"/>
      </w:pPr>
      <w:r>
        <w:rPr>
          <w:rFonts w:ascii="Times New Roman" w:cs="Simplified Arabic" w:hAnsi="Times New Roman"/>
          <w:i w:val="false"/>
          <w:iCs w:val="false"/>
          <w:sz w:val="28"/>
          <w:szCs w:val="28"/>
          <w:rtl/>
        </w:rPr>
        <w:t xml:space="preserve">اليونسكو (2021). </w:t>
      </w:r>
      <w:r>
        <w:rPr>
          <w:rFonts w:ascii="Times New Roman" w:cs="Simplified Arabic" w:hAnsi="Times New Roman"/>
          <w:i/>
          <w:iCs/>
          <w:sz w:val="28"/>
          <w:szCs w:val="28"/>
          <w:rtl/>
        </w:rPr>
        <w:t xml:space="preserve">الذكاء الاصطناعي والتعليم: إرشادات لواضعي السياسات</w:t>
      </w:r>
      <w:r>
        <w:rPr>
          <w:rFonts w:ascii="Times New Roman" w:cs="Simplified Arabic" w:hAnsi="Times New Roman"/>
          <w:i w:val="false"/>
          <w:iCs w:val="false"/>
          <w:sz w:val="28"/>
          <w:szCs w:val="28"/>
          <w:rtl/>
        </w:rPr>
        <w:t xml:space="preserve">. منظمة الأمم المتحدة للتربية والعلم والثقافة.</w:t>
      </w:r>
    </w:p>
    <w:p>
      <w:pPr>
        <w:bidi/>
        <w:spacing w:after="0" w:line="480"/>
        <w:ind w:start="709" w:hanging="709"/>
        <w:jc w:val="right"/>
      </w:pPr>
      <w:r>
        <w:rPr>
          <w:rFonts w:ascii="Times New Roman" w:cs="Simplified Arabic" w:hAnsi="Times New Roman"/>
          <w:i w:val="false"/>
          <w:iCs w:val="false"/>
          <w:sz w:val="28"/>
          <w:szCs w:val="28"/>
          <w:rtl/>
        </w:rPr>
        <w:t xml:space="preserve">اليونسكو (2023). </w:t>
      </w:r>
      <w:r>
        <w:rPr>
          <w:rFonts w:ascii="Times New Roman" w:cs="Simplified Arabic" w:hAnsi="Times New Roman"/>
          <w:i/>
          <w:iCs/>
          <w:sz w:val="28"/>
          <w:szCs w:val="28"/>
          <w:rtl/>
        </w:rPr>
        <w:t xml:space="preserve">إرشادات بشأن الذكاء الاصطناعي التوليدي في التعليم والبحث</w:t>
      </w:r>
      <w:r>
        <w:rPr>
          <w:rFonts w:ascii="Times New Roman" w:cs="Simplified Arabic" w:hAnsi="Times New Roman"/>
          <w:i w:val="false"/>
          <w:iCs w:val="false"/>
          <w:sz w:val="28"/>
          <w:szCs w:val="28"/>
          <w:rtl/>
        </w:rPr>
        <w:t xml:space="preserve">. منظمة الأمم المتحدة للتربية والعلم والثقافة.</w:t>
      </w:r>
    </w:p>
    <w:p>
      <w:pPr>
        <w:bidi/>
        <w:spacing w:after="0" w:line="480"/>
        <w:ind w:start="709" w:hanging="709"/>
        <w:jc w:val="right"/>
      </w:pPr>
      <w:r>
        <w:rPr>
          <w:rFonts w:ascii="Times New Roman" w:cs="Simplified Arabic" w:hAnsi="Times New Roman"/>
          <w:i w:val="false"/>
          <w:iCs w:val="false"/>
          <w:sz w:val="28"/>
          <w:szCs w:val="28"/>
          <w:rtl/>
        </w:rPr>
        <w:t xml:space="preserve">يونيسف (2021). </w:t>
      </w:r>
      <w:r>
        <w:rPr>
          <w:rFonts w:ascii="Times New Roman" w:cs="Simplified Arabic" w:hAnsi="Times New Roman"/>
          <w:i/>
          <w:iCs/>
          <w:sz w:val="28"/>
          <w:szCs w:val="28"/>
          <w:rtl/>
        </w:rPr>
        <w:t xml:space="preserve">توجيهات السياسات بشأن الذكاء الاصطناعي للأطفال (النسخة 2.0)</w:t>
      </w:r>
      <w:r>
        <w:rPr>
          <w:rFonts w:ascii="Times New Roman" w:cs="Simplified Arabic" w:hAnsi="Times New Roman"/>
          <w:i w:val="false"/>
          <w:iCs w:val="false"/>
          <w:sz w:val="28"/>
          <w:szCs w:val="28"/>
          <w:rtl/>
        </w:rPr>
        <w:t xml:space="preserve">. منظمة الأمم المتحدة للطفولة. https://www.unicef.org/innocenti/media/1356/file/UNICEF-Global-Insight-policy-guidance-AI-children-2.0-2021_AR.pdf</w:t>
      </w:r>
    </w:p>
    <w:p>
      <w:pPr>
        <w:bidi/>
        <w:spacing w:after="0" w:line="480"/>
        <w:ind w:start="709" w:hanging="709"/>
        <w:jc w:val="right"/>
      </w:pPr>
      <w:r>
        <w:rPr>
          <w:rFonts w:ascii="Times New Roman" w:cs="Simplified Arabic" w:hAnsi="Times New Roman"/>
          <w:i w:val="false"/>
          <w:iCs w:val="false"/>
          <w:sz w:val="28"/>
          <w:szCs w:val="28"/>
          <w:rtl/>
        </w:rPr>
        <w:t xml:space="preserve">דוידוביץ', נ' וודמני, ר' (2025). בינה מלאכותית ואתיקה אקדמית: תפיסות סטודנטים וציפיותיהם מהמרצים. </w:t>
      </w:r>
      <w:r>
        <w:rPr>
          <w:rFonts w:ascii="Times New Roman" w:cs="Simplified Arabic" w:hAnsi="Times New Roman"/>
          <w:i/>
          <w:iCs/>
          <w:sz w:val="28"/>
          <w:szCs w:val="28"/>
          <w:rtl/>
        </w:rPr>
        <w:t xml:space="preserve">דפים</w:t>
      </w:r>
      <w:r>
        <w:rPr>
          <w:rFonts w:ascii="Times New Roman" w:cs="Simplified Arabic" w:hAnsi="Times New Roman"/>
          <w:i w:val="false"/>
          <w:iCs w:val="false"/>
          <w:sz w:val="28"/>
          <w:szCs w:val="28"/>
          <w:rtl/>
        </w:rPr>
        <w:t xml:space="preserve">. מכון מופ"ת. https://dapim.mofet.macam.ac.il</w:t>
      </w:r>
    </w:p>
    <w:p>
      <w:pPr>
        <w:bidi/>
        <w:spacing w:after="0" w:line="480"/>
        <w:ind w:start="709" w:hanging="709"/>
        <w:jc w:val="right"/>
      </w:pPr>
      <w:r>
        <w:rPr>
          <w:rFonts w:ascii="Times New Roman" w:cs="Simplified Arabic" w:hAnsi="Times New Roman"/>
          <w:i w:val="false"/>
          <w:iCs w:val="false"/>
          <w:sz w:val="28"/>
          <w:szCs w:val="28"/>
          <w:rtl/>
        </w:rPr>
        <w:t xml:space="preserve">לוי-נדב, ל', שמיר-ענבל, ת' ובלאו, א' (2024). השימוש בבינה מלאכותית יוצרת לקידום שינויים בתהליכי הוראה-למידה ופיתוח מיומנויות דיגיטליות. בתוך </w:t>
      </w:r>
      <w:r>
        <w:rPr>
          <w:rFonts w:ascii="Times New Roman" w:cs="Simplified Arabic" w:hAnsi="Times New Roman"/>
          <w:i/>
          <w:iCs/>
          <w:sz w:val="28"/>
          <w:szCs w:val="28"/>
          <w:rtl/>
        </w:rPr>
        <w:t xml:space="preserve">האדם הלומד בעידן הדיגיטלי: ספר הכנס התשעה-עשר לחקר חדשנות וטכנולוגיות למידה ע"ש צ'ייס</w:t>
      </w:r>
      <w:r>
        <w:rPr>
          <w:rFonts w:ascii="Times New Roman" w:cs="Simplified Arabic" w:hAnsi="Times New Roman"/>
          <w:i w:val="false"/>
          <w:iCs w:val="false"/>
          <w:sz w:val="28"/>
          <w:szCs w:val="28"/>
          <w:rtl/>
        </w:rPr>
        <w:t xml:space="preserve"> (עמ' ע27-ע35). האוניברסיטה הפתוחה.</w:t>
      </w:r>
    </w:p>
    <w:p>
      <w:pPr>
        <w:bidi/>
        <w:spacing w:after="0" w:line="480"/>
        <w:ind w:start="709" w:hanging="709"/>
        <w:jc w:val="right"/>
      </w:pPr>
      <w:r>
        <w:rPr>
          <w:rFonts w:ascii="Times New Roman" w:cs="Simplified Arabic" w:hAnsi="Times New Roman"/>
          <w:i w:val="false"/>
          <w:iCs w:val="false"/>
          <w:sz w:val="28"/>
          <w:szCs w:val="28"/>
          <w:rtl/>
        </w:rPr>
        <w:t xml:space="preserve">ליבוביץ, ל' (2025). פיתוח מקצועי של מורים בתחום הבינה המלאכותית בחינוך: קורס בגישה יזמית. בתוך </w:t>
      </w:r>
      <w:r>
        <w:rPr>
          <w:rFonts w:ascii="Times New Roman" w:cs="Simplified Arabic" w:hAnsi="Times New Roman"/>
          <w:i/>
          <w:iCs/>
          <w:sz w:val="28"/>
          <w:szCs w:val="28"/>
          <w:rtl/>
        </w:rPr>
        <w:t xml:space="preserve">האדם הלומד בעידן הדיגיטלי: ספר הכנס העשרים לחקר חדשנות וטכנולוגיות למידה ע"ש צ'ייס</w:t>
      </w:r>
      <w:r>
        <w:rPr>
          <w:rFonts w:ascii="Times New Roman" w:cs="Simplified Arabic" w:hAnsi="Times New Roman"/>
          <w:i w:val="false"/>
          <w:iCs w:val="false"/>
          <w:sz w:val="28"/>
          <w:szCs w:val="28"/>
          <w:rtl/>
        </w:rPr>
        <w:t xml:space="preserve">. האוניברסיטה הפתוחה. https://www.openu.ac.il/Lists/MediaServer_Documents/innovation/chais/2025/c2_15.pdf</w:t>
      </w:r>
    </w:p>
    <w:p>
      <w:pPr>
        <w:bidi/>
        <w:spacing w:after="0" w:line="480"/>
        <w:ind w:start="709" w:hanging="709"/>
        <w:jc w:val="right"/>
      </w:pPr>
      <w:r>
        <w:rPr>
          <w:rFonts w:ascii="Times New Roman" w:cs="Simplified Arabic" w:hAnsi="Times New Roman"/>
          <w:i w:val="false"/>
          <w:iCs w:val="false"/>
          <w:sz w:val="28"/>
          <w:szCs w:val="28"/>
          <w:rtl/>
        </w:rPr>
        <w:t xml:space="preserve">מרכז המחקר והמידע של הכנסת (2024). </w:t>
      </w:r>
      <w:r>
        <w:rPr>
          <w:rFonts w:ascii="Times New Roman" w:cs="Simplified Arabic" w:hAnsi="Times New Roman"/>
          <w:i/>
          <w:iCs/>
          <w:sz w:val="28"/>
          <w:szCs w:val="28"/>
          <w:rtl/>
        </w:rPr>
        <w:t xml:space="preserve">יישום והטמעה של בינה מלאכותית במערכת החינוך</w:t>
      </w:r>
      <w:r>
        <w:rPr>
          <w:rFonts w:ascii="Times New Roman" w:cs="Simplified Arabic" w:hAnsi="Times New Roman"/>
          <w:i w:val="false"/>
          <w:iCs w:val="false"/>
          <w:sz w:val="28"/>
          <w:szCs w:val="28"/>
          <w:rtl/>
        </w:rPr>
        <w:t xml:space="preserve">. הכנסת.</w:t>
      </w:r>
    </w:p>
    <w:p>
      <w:pPr>
        <w:bidi/>
        <w:spacing w:after="0" w:line="480"/>
        <w:ind w:start="709" w:hanging="709"/>
        <w:jc w:val="right"/>
      </w:pPr>
      <w:r>
        <w:rPr>
          <w:rFonts w:ascii="Times New Roman" w:cs="Simplified Arabic" w:hAnsi="Times New Roman"/>
          <w:i w:val="false"/>
          <w:iCs w:val="false"/>
          <w:sz w:val="28"/>
          <w:szCs w:val="28"/>
          <w:rtl/>
        </w:rPr>
        <w:t xml:space="preserve">משרד החינוך (2023). </w:t>
      </w:r>
      <w:r>
        <w:rPr>
          <w:rFonts w:ascii="Times New Roman" w:cs="Simplified Arabic" w:hAnsi="Times New Roman"/>
          <w:i/>
          <w:iCs/>
          <w:sz w:val="28"/>
          <w:szCs w:val="28"/>
          <w:rtl/>
        </w:rPr>
        <w:t xml:space="preserve">הנחיות שימוש בכלי בינה מלאכותית יוצרת במערכת החינוך</w:t>
      </w:r>
      <w:r>
        <w:rPr>
          <w:rFonts w:ascii="Times New Roman" w:cs="Simplified Arabic" w:hAnsi="Times New Roman"/>
          <w:i w:val="false"/>
          <w:iCs w:val="false"/>
          <w:sz w:val="28"/>
          <w:szCs w:val="28"/>
          <w:rtl/>
        </w:rPr>
        <w:t xml:space="preserve">. https://meyda.education.gov.il/files/Pop/0files/lemida-metukshevet/AI/Guidelines.pdf</w:t>
      </w:r>
    </w:p>
    <w:p>
      <w:pPr>
        <w:bidi w:val="false"/>
        <w:spacing w:after="0" w:line="480"/>
        <w:ind w:start="709" w:hanging="709"/>
        <w:jc w:val="left"/>
      </w:pPr>
      <w:r>
        <w:rPr>
          <w:rFonts w:ascii="Times New Roman" w:hAnsi="Times New Roman"/>
          <w:i w:val="false"/>
          <w:iCs w:val="false"/>
          <w:sz w:val="28"/>
          <w:szCs w:val="28"/>
          <w:rtl w:val="false"/>
        </w:rPr>
        <w:t xml:space="preserve">Almasri, F. (2024). Exploring the impact of artificial intelligence in teaching and learning of science: A systematic review of empirical research. </w:t>
      </w:r>
      <w:r>
        <w:rPr>
          <w:rFonts w:ascii="Times New Roman" w:hAnsi="Times New Roman"/>
          <w:i/>
          <w:iCs/>
          <w:sz w:val="28"/>
          <w:szCs w:val="28"/>
          <w:rtl w:val="false"/>
        </w:rPr>
        <w:t xml:space="preserve">Research in Science Education, 54</w:t>
      </w:r>
      <w:r>
        <w:rPr>
          <w:rFonts w:ascii="Times New Roman" w:hAnsi="Times New Roman"/>
          <w:i w:val="false"/>
          <w:iCs w:val="false"/>
          <w:sz w:val="28"/>
          <w:szCs w:val="28"/>
          <w:rtl w:val="false"/>
        </w:rPr>
        <w:t xml:space="preserve">, 977-997. https://doi.org/10.1007/s11165-024-10176-3</w:t>
      </w:r>
    </w:p>
    <w:p>
      <w:pPr>
        <w:bidi w:val="false"/>
        <w:spacing w:after="0" w:line="480"/>
        <w:ind w:start="709" w:hanging="709"/>
        <w:jc w:val="left"/>
      </w:pPr>
      <w:r>
        <w:rPr>
          <w:rFonts w:ascii="Times New Roman" w:hAnsi="Times New Roman"/>
          <w:i w:val="false"/>
          <w:iCs w:val="false"/>
          <w:sz w:val="28"/>
          <w:szCs w:val="28"/>
          <w:rtl w:val="false"/>
        </w:rPr>
        <w:t xml:space="preserve">Celik, I., Dindar, M., Muukkonen, H., &amp; Järvelä, S. (2022). The promises and challenges of artificial intelligence for teachers: A systematic review of research. </w:t>
      </w:r>
      <w:r>
        <w:rPr>
          <w:rFonts w:ascii="Times New Roman" w:hAnsi="Times New Roman"/>
          <w:i/>
          <w:iCs/>
          <w:sz w:val="28"/>
          <w:szCs w:val="28"/>
          <w:rtl w:val="false"/>
        </w:rPr>
        <w:t xml:space="preserve">TechTrends, 66</w:t>
      </w:r>
      <w:r>
        <w:rPr>
          <w:rFonts w:ascii="Times New Roman" w:hAnsi="Times New Roman"/>
          <w:i w:val="false"/>
          <w:iCs w:val="false"/>
          <w:sz w:val="28"/>
          <w:szCs w:val="28"/>
          <w:rtl w:val="false"/>
        </w:rPr>
        <w:t xml:space="preserve">(4), 616-630. https://doi.org/10.1007/s11528-022-00715-y</w:t>
      </w:r>
    </w:p>
    <w:p>
      <w:pPr>
        <w:bidi w:val="false"/>
        <w:spacing w:after="0" w:line="480"/>
        <w:ind w:start="709" w:hanging="709"/>
        <w:jc w:val="left"/>
      </w:pPr>
      <w:r>
        <w:rPr>
          <w:rFonts w:ascii="Times New Roman" w:hAnsi="Times New Roman"/>
          <w:i w:val="false"/>
          <w:iCs w:val="false"/>
          <w:sz w:val="28"/>
          <w:szCs w:val="28"/>
          <w:rtl w:val="false"/>
        </w:rPr>
        <w:t xml:space="preserve">Chiu, T. K. F., Xia, Q., Zhou, X., Chai, C. S., &amp; Cheng, M. (2023). Systematic literature review on opportunities, challenges, and future research recommendations of artificial intelligence in education. </w:t>
      </w:r>
      <w:r>
        <w:rPr>
          <w:rFonts w:ascii="Times New Roman" w:hAnsi="Times New Roman"/>
          <w:i/>
          <w:iCs/>
          <w:sz w:val="28"/>
          <w:szCs w:val="28"/>
          <w:rtl w:val="false"/>
        </w:rPr>
        <w:t xml:space="preserve">Computers and Education: Artificial Intelligence, 4</w:t>
      </w:r>
      <w:r>
        <w:rPr>
          <w:rFonts w:ascii="Times New Roman" w:hAnsi="Times New Roman"/>
          <w:i w:val="false"/>
          <w:iCs w:val="false"/>
          <w:sz w:val="28"/>
          <w:szCs w:val="28"/>
          <w:rtl w:val="false"/>
        </w:rPr>
        <w:t xml:space="preserve">, 100118. https://doi.org/10.1016/j.caeai.2022.100118</w:t>
      </w:r>
    </w:p>
    <w:p>
      <w:pPr>
        <w:bidi w:val="false"/>
        <w:spacing w:after="0" w:line="480"/>
        <w:ind w:start="709" w:hanging="709"/>
        <w:jc w:val="left"/>
      </w:pPr>
      <w:r>
        <w:rPr>
          <w:rFonts w:ascii="Times New Roman" w:hAnsi="Times New Roman"/>
          <w:i w:val="false"/>
          <w:iCs w:val="false"/>
          <w:sz w:val="28"/>
          <w:szCs w:val="28"/>
          <w:rtl w:val="false"/>
        </w:rPr>
        <w:t xml:space="preserve">Kasneci, E., Sessler, K., Küchemann, S., Bannert, M., Dementieva, D., Fischer, F., Gasser, U., Groh, G., Günnemann, S., Hüllermeier, E., Krusche, S., Kutyniok, G., Michaeli, T., Nerdel, C., Pfeffer, J., Poquet, O., Sailer, M., Schmidt, A., Seidel, T., . . . Kasneci, G. (2023). ChatGPT for good? On opportunities and challenges of large language models for education. </w:t>
      </w:r>
      <w:r>
        <w:rPr>
          <w:rFonts w:ascii="Times New Roman" w:hAnsi="Times New Roman"/>
          <w:i/>
          <w:iCs/>
          <w:sz w:val="28"/>
          <w:szCs w:val="28"/>
          <w:rtl w:val="false"/>
        </w:rPr>
        <w:t xml:space="preserve">Learning and Individual Differences, 103</w:t>
      </w:r>
      <w:r>
        <w:rPr>
          <w:rFonts w:ascii="Times New Roman" w:hAnsi="Times New Roman"/>
          <w:i w:val="false"/>
          <w:iCs w:val="false"/>
          <w:sz w:val="28"/>
          <w:szCs w:val="28"/>
          <w:rtl w:val="false"/>
        </w:rPr>
        <w:t xml:space="preserve">, 102274. https://doi.org/10.1016/j.lindif.2023.102274</w:t>
      </w:r>
    </w:p>
    <w:p>
      <w:pPr>
        <w:bidi w:val="false"/>
        <w:spacing w:after="0" w:line="480"/>
        <w:ind w:start="709" w:hanging="709"/>
        <w:jc w:val="left"/>
      </w:pPr>
      <w:r>
        <w:rPr>
          <w:rFonts w:ascii="Times New Roman" w:hAnsi="Times New Roman"/>
          <w:i w:val="false"/>
          <w:iCs w:val="false"/>
          <w:sz w:val="28"/>
          <w:szCs w:val="28"/>
          <w:rtl w:val="false"/>
        </w:rPr>
        <w:t xml:space="preserve">Mishra, P., &amp; Koehler, M. J. (2006). Technological pedagogical content knowledge: A framework for teacher knowledge. </w:t>
      </w:r>
      <w:r>
        <w:rPr>
          <w:rFonts w:ascii="Times New Roman" w:hAnsi="Times New Roman"/>
          <w:i/>
          <w:iCs/>
          <w:sz w:val="28"/>
          <w:szCs w:val="28"/>
          <w:rtl w:val="false"/>
        </w:rPr>
        <w:t xml:space="preserve">Teachers College Record, 108</w:t>
      </w:r>
      <w:r>
        <w:rPr>
          <w:rFonts w:ascii="Times New Roman" w:hAnsi="Times New Roman"/>
          <w:i w:val="false"/>
          <w:iCs w:val="false"/>
          <w:sz w:val="28"/>
          <w:szCs w:val="28"/>
          <w:rtl w:val="false"/>
        </w:rPr>
        <w:t xml:space="preserve">(6), 1017-1054. https://doi.org/10.1111/j.1467-9620.2006.00684.x</w:t>
      </w:r>
    </w:p>
    <w:p>
      <w:pPr>
        <w:bidi w:val="false"/>
        <w:spacing w:after="0" w:line="480"/>
        <w:ind w:start="709" w:hanging="709"/>
        <w:jc w:val="left"/>
      </w:pPr>
      <w:r>
        <w:rPr>
          <w:rFonts w:ascii="Times New Roman" w:hAnsi="Times New Roman"/>
          <w:i w:val="false"/>
          <w:iCs w:val="false"/>
          <w:sz w:val="28"/>
          <w:szCs w:val="28"/>
          <w:rtl w:val="false"/>
        </w:rPr>
        <w:t xml:space="preserve">Zawacki-Richter, O., Marín, V. I., Bond, M., &amp; Gouverneur, F. (2019). Systematic review of research on artificial intelligence applications in higher education: Where are the educators? </w:t>
      </w:r>
      <w:r>
        <w:rPr>
          <w:rFonts w:ascii="Times New Roman" w:hAnsi="Times New Roman"/>
          <w:i/>
          <w:iCs/>
          <w:sz w:val="28"/>
          <w:szCs w:val="28"/>
          <w:rtl w:val="false"/>
        </w:rPr>
        <w:t xml:space="preserve">International Journal of Educational Technology in Higher Education, 16</w:t>
      </w:r>
      <w:r>
        <w:rPr>
          <w:rFonts w:ascii="Times New Roman" w:hAnsi="Times New Roman"/>
          <w:i w:val="false"/>
          <w:iCs w:val="false"/>
          <w:sz w:val="28"/>
          <w:szCs w:val="28"/>
          <w:rtl w:val="false"/>
        </w:rPr>
        <w:t xml:space="preserve">, 39. https://doi.org/10.1186/s41239-019-0171-0</w:t>
      </w:r>
    </w:p>
    <w:p>
      <w:pPr>
        <w:pStyle w:val="Heading1"/>
        <w:pageBreakBefore/>
        <w:bidi/>
        <w:spacing w:after="200" w:before="0" w:line="480"/>
        <w:jc w:val="right"/>
      </w:pPr>
      <w:r>
        <w:rPr>
          <w:rFonts w:ascii="Times New Roman" w:cs="Simplified Arabic" w:hAnsi="Times New Roman"/>
          <w:b/>
          <w:bCs/>
          <w:color w:val="000000"/>
          <w:sz w:val="32"/>
          <w:szCs w:val="32"/>
          <w:rtl/>
        </w:rPr>
        <w:t xml:space="preserve">ملحق أ: المطالبات المستخدمة في الأدوات التوليدية</w:t>
      </w:r>
    </w:p>
    <w:p>
      <w:pPr>
        <w:bidi/>
        <w:spacing w:after="0" w:line="480"/>
        <w:ind w:firstLine="709"/>
        <w:jc w:val="both"/>
      </w:pPr>
      <w:r>
        <w:rPr>
          <w:rFonts w:ascii="Times New Roman" w:cs="Simplified Arabic" w:hAnsi="Times New Roman"/>
          <w:sz w:val="28"/>
          <w:szCs w:val="28"/>
          <w:rtl/>
        </w:rPr>
        <w:t xml:space="preserve">تُعرَض المطالبات كما استُخدمت، مع الإشارة إلى ما تطلّب تعديلًا. الغرض من إدراجها أن تكون قابلة لإعادة الاستخدام ولإعادة الفحص.</w:t>
      </w:r>
    </w:p>
    <w:p>
      <w:pPr>
        <w:bidi/>
        <w:spacing w:after="0" w:line="480"/>
        <w:ind w:firstLine="709"/>
        <w:jc w:val="both"/>
      </w:pPr>
      <w:r>
        <w:rPr>
          <w:rFonts w:ascii="Times New Roman" w:cs="Simplified Arabic" w:hAnsi="Times New Roman"/>
          <w:sz w:val="28"/>
          <w:szCs w:val="28"/>
          <w:rtl/>
        </w:rPr>
        <w:t xml:space="preserve">لتوليد قائمة التصوّرات البديلة في مرحلة التحليل: "اذكر التصوّرات الخاطئة الشائعة لدى تلاميذ في سنّ العاشرة حول الجهاز الهضمي والجهاز التنفسي، مرتّبة من الأكثر شيوعًا، مع صياغة كلّ تصوّر بلغة التلميذ نفسه". احتاجت المخرجات إلى حذف بندين لا يلائمان المرحلة.</w:t>
      </w:r>
    </w:p>
    <w:p>
      <w:pPr>
        <w:bidi/>
        <w:spacing w:after="0" w:line="480"/>
        <w:ind w:firstLine="709"/>
        <w:jc w:val="both"/>
      </w:pPr>
      <w:r>
        <w:rPr>
          <w:rFonts w:ascii="Times New Roman" w:cs="Simplified Arabic" w:hAnsi="Times New Roman"/>
          <w:sz w:val="28"/>
          <w:szCs w:val="28"/>
          <w:rtl/>
        </w:rPr>
        <w:t xml:space="preserve">لتوليد صورة الجهاز الدوري: "رسم تعليمي مبسّط للجهاز الدوري في جسم الإنسان، بنمط رسم كتاب مدرسي، بلا أيّ كتابة أو حروف، خلفية بيضاء، ألوان واضحة تفرّق بين الدم المؤكسج وغير المؤكسج". أُضيف شرط "بلا أيّ كتابة" بعد أن جاءت المحاولات الأولى بنصّ عربي مشوّه.</w:t>
      </w:r>
    </w:p>
    <w:p>
      <w:pPr>
        <w:bidi/>
        <w:spacing w:after="0" w:line="480"/>
        <w:ind w:firstLine="709"/>
        <w:jc w:val="both"/>
      </w:pPr>
      <w:r>
        <w:rPr>
          <w:rFonts w:ascii="Times New Roman" w:cs="Simplified Arabic" w:hAnsi="Times New Roman"/>
          <w:sz w:val="28"/>
          <w:szCs w:val="28"/>
          <w:rtl/>
        </w:rPr>
        <w:t xml:space="preserve">لتوليد ورقة العمل في الدرس الرابع: "أنشئ ورقة عمل من ثلاثة أعمدة لتلاميذ الصف الخامس: اسم العضلة، العظم الذي تحرّكه، الحركة الناتجة، مع ستّ عضلات كبيرة معروفة وصفّ أوّل محلول كمثال". استُبدلت عضلتان بأخريين أقرب إلى خبرة التلميذ اليومية.</w:t>
      </w:r>
    </w:p>
    <w:p>
      <w:pPr>
        <w:bidi/>
        <w:spacing w:after="0" w:line="480"/>
        <w:ind w:firstLine="709"/>
        <w:jc w:val="both"/>
      </w:pPr>
      <w:r>
        <w:rPr>
          <w:rFonts w:ascii="Times New Roman" w:cs="Simplified Arabic" w:hAnsi="Times New Roman"/>
          <w:sz w:val="28"/>
          <w:szCs w:val="28"/>
          <w:rtl/>
        </w:rPr>
        <w:t xml:space="preserve">لتوليد صياغة تعليمات البازل: "اكتب تعليمات نشاط تركيب صورة في أربع خطوات قصيرة، لتلاميذ صف خامس يعملون في مجموعات، بلغة عربية بسيطة، كلّ خطوة في سطر واحد".</w:t>
      </w:r>
    </w:p>
    <w:p>
      <w:pPr>
        <w:pStyle w:val="Heading1"/>
        <w:pageBreakBefore/>
        <w:bidi/>
        <w:spacing w:after="200" w:before="0" w:line="480"/>
        <w:jc w:val="right"/>
      </w:pPr>
      <w:r>
        <w:rPr>
          <w:rFonts w:ascii="Times New Roman" w:cs="Simplified Arabic" w:hAnsi="Times New Roman"/>
          <w:b/>
          <w:bCs/>
          <w:color w:val="000000"/>
          <w:sz w:val="32"/>
          <w:szCs w:val="32"/>
          <w:rtl/>
        </w:rPr>
        <w:t xml:space="preserve">ملحق ب: سلّم تقدير نشاط البازل</w:t>
      </w:r>
    </w:p>
    <w:p>
      <w:pPr>
        <w:bidi/>
        <w:spacing w:after="0" w:before="240" w:line="240"/>
        <w:jc w:val="right"/>
      </w:pPr>
      <w:r>
        <w:rPr>
          <w:rFonts w:ascii="Times New Roman" w:cs="Simplified Arabic" w:hAnsi="Times New Roman"/>
          <w:b/>
          <w:bCs/>
          <w:sz w:val="26"/>
          <w:szCs w:val="26"/>
          <w:rtl/>
        </w:rPr>
        <w:t xml:space="preserve">جدول 3</w:t>
      </w:r>
    </w:p>
    <w:p>
      <w:pPr>
        <w:bidi/>
        <w:spacing w:after="120" w:before="0" w:line="240"/>
        <w:jc w:val="right"/>
      </w:pPr>
      <w:r>
        <w:rPr>
          <w:rFonts w:ascii="Times New Roman" w:cs="Simplified Arabic" w:hAnsi="Times New Roman"/>
          <w:i/>
          <w:iCs/>
          <w:sz w:val="26"/>
          <w:szCs w:val="26"/>
          <w:rtl/>
        </w:rPr>
        <w:t xml:space="preserve">سلّم تقدير لتقويم نشاط تركيب البازل والشرح المرافق</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772"/>
        <w:gridCol w:w="2400"/>
        <w:gridCol w:w="2400"/>
        <w:gridCol w:w="2500"/>
      </w:tblGrid>
      <w:tr>
        <w:trPr>
          <w:tblHeader/>
        </w:trPr>
        <w:tc>
          <w:tcPr>
            <w:tcW w:type="dxa" w:w="1772"/>
            <w:shd w:fill="E8E8E8" w:color="auto" w:val="clear"/>
            <w:tcMar>
              <w:top w:type="dxa" w:w="80"/>
              <w:left w:type="dxa" w:w="100"/>
              <w:bottom w:type="dxa" w:w="80"/>
              <w:right w:type="dxa" w:w="100"/>
            </w:tcMar>
          </w:tcPr>
          <w:p>
            <w:pPr>
              <w:bidi/>
              <w:spacing w:after="0" w:line="240"/>
              <w:jc w:val="right"/>
            </w:pPr>
            <w:r>
              <w:rPr>
                <w:rFonts w:ascii="Times New Roman" w:cs="Simplified Arabic" w:hAnsi="Times New Roman"/>
                <w:b/>
                <w:bCs/>
                <w:sz w:val="24"/>
                <w:szCs w:val="24"/>
                <w:rtl/>
              </w:rPr>
              <w:t xml:space="preserve">المعيار</w:t>
            </w:r>
          </w:p>
        </w:tc>
        <w:tc>
          <w:tcPr>
            <w:tcW w:type="dxa" w:w="2400"/>
            <w:shd w:fill="E8E8E8" w:color="auto" w:val="clear"/>
            <w:tcMar>
              <w:top w:type="dxa" w:w="80"/>
              <w:left w:type="dxa" w:w="100"/>
              <w:bottom w:type="dxa" w:w="80"/>
              <w:right w:type="dxa" w:w="100"/>
            </w:tcMar>
          </w:tcPr>
          <w:p>
            <w:pPr>
              <w:bidi/>
              <w:spacing w:after="0" w:line="240"/>
              <w:jc w:val="right"/>
            </w:pPr>
            <w:r>
              <w:rPr>
                <w:rFonts w:ascii="Times New Roman" w:cs="Simplified Arabic" w:hAnsi="Times New Roman"/>
                <w:b/>
                <w:bCs/>
                <w:sz w:val="24"/>
                <w:szCs w:val="24"/>
                <w:rtl/>
              </w:rPr>
              <w:t xml:space="preserve">مستوى متقدّم</w:t>
            </w:r>
          </w:p>
        </w:tc>
        <w:tc>
          <w:tcPr>
            <w:tcW w:type="dxa" w:w="2400"/>
            <w:shd w:fill="E8E8E8" w:color="auto" w:val="clear"/>
            <w:tcMar>
              <w:top w:type="dxa" w:w="80"/>
              <w:left w:type="dxa" w:w="100"/>
              <w:bottom w:type="dxa" w:w="80"/>
              <w:right w:type="dxa" w:w="100"/>
            </w:tcMar>
          </w:tcPr>
          <w:p>
            <w:pPr>
              <w:bidi/>
              <w:spacing w:after="0" w:line="240"/>
              <w:jc w:val="right"/>
            </w:pPr>
            <w:r>
              <w:rPr>
                <w:rFonts w:ascii="Times New Roman" w:cs="Simplified Arabic" w:hAnsi="Times New Roman"/>
                <w:b/>
                <w:bCs/>
                <w:sz w:val="24"/>
                <w:szCs w:val="24"/>
                <w:rtl/>
              </w:rPr>
              <w:t xml:space="preserve">مستوى متوسط</w:t>
            </w:r>
          </w:p>
        </w:tc>
        <w:tc>
          <w:tcPr>
            <w:tcW w:type="dxa" w:w="2500"/>
            <w:shd w:fill="E8E8E8" w:color="auto" w:val="clear"/>
            <w:tcMar>
              <w:top w:type="dxa" w:w="80"/>
              <w:left w:type="dxa" w:w="100"/>
              <w:bottom w:type="dxa" w:w="80"/>
              <w:right w:type="dxa" w:w="100"/>
            </w:tcMar>
          </w:tcPr>
          <w:p>
            <w:pPr>
              <w:bidi/>
              <w:spacing w:after="0" w:line="240"/>
              <w:jc w:val="right"/>
            </w:pPr>
            <w:r>
              <w:rPr>
                <w:rFonts w:ascii="Times New Roman" w:cs="Simplified Arabic" w:hAnsi="Times New Roman"/>
                <w:b/>
                <w:bCs/>
                <w:sz w:val="24"/>
                <w:szCs w:val="24"/>
                <w:rtl/>
              </w:rPr>
              <w:t xml:space="preserve">مستوى مبتدئ</w:t>
            </w:r>
          </w:p>
        </w:tc>
      </w:tr>
      <w:tr>
        <w:trPr>
          <w:tblHeader w:val="false"/>
        </w:trPr>
        <w:tc>
          <w:tcPr>
            <w:tcW w:type="dxa" w:w="1772"/>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دقّة التركيب</w:t>
            </w:r>
          </w:p>
        </w:tc>
        <w:tc>
          <w:tcPr>
            <w:tcW w:type="dxa" w:w="2400"/>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يُركّب القطع كلّها في مواضعها الصحيحة دون توجيه</w:t>
            </w:r>
          </w:p>
        </w:tc>
        <w:tc>
          <w:tcPr>
            <w:tcW w:type="dxa" w:w="2400"/>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يُركّب معظم القطع ويحتاج إلى توجيه في قطعتين أو ثلاث</w:t>
            </w:r>
          </w:p>
        </w:tc>
        <w:tc>
          <w:tcPr>
            <w:tcW w:type="dxa" w:w="2500"/>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يُركّب القطع الواضحة فقط ويحتاج إلى توجيه متكرّر</w:t>
            </w:r>
          </w:p>
        </w:tc>
      </w:tr>
      <w:tr>
        <w:trPr>
          <w:tblHeader w:val="false"/>
        </w:trPr>
        <w:tc>
          <w:tcPr>
            <w:tcW w:type="dxa" w:w="1772"/>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التسمية وشرح الموقع</w:t>
            </w:r>
          </w:p>
        </w:tc>
        <w:tc>
          <w:tcPr>
            <w:tcW w:type="dxa" w:w="2400"/>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يسمّي ثلاثة أعضاء ويشرح موقع كلّ منها بالنسبة إلى غيره</w:t>
            </w:r>
          </w:p>
        </w:tc>
        <w:tc>
          <w:tcPr>
            <w:tcW w:type="dxa" w:w="2400"/>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يسمّي عضوين ويشرح موقع أحدهما</w:t>
            </w:r>
          </w:p>
        </w:tc>
        <w:tc>
          <w:tcPr>
            <w:tcW w:type="dxa" w:w="2500"/>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يسمّي عضوًا واحدًا</w:t>
            </w:r>
          </w:p>
        </w:tc>
      </w:tr>
      <w:tr>
        <w:trPr>
          <w:tblHeader w:val="false"/>
        </w:trPr>
        <w:tc>
          <w:tcPr>
            <w:tcW w:type="dxa" w:w="1772"/>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تصحيح الفرضية</w:t>
            </w:r>
          </w:p>
        </w:tc>
        <w:tc>
          <w:tcPr>
            <w:tcW w:type="dxa" w:w="2400"/>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يعدّل موضع القطعة بنفسه بعد ملاحظة عدم الملاءمة</w:t>
            </w:r>
          </w:p>
        </w:tc>
        <w:tc>
          <w:tcPr>
            <w:tcW w:type="dxa" w:w="2400"/>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يعدّل بعد إشارة من زميل أو من المعلّمة</w:t>
            </w:r>
          </w:p>
        </w:tc>
        <w:tc>
          <w:tcPr>
            <w:tcW w:type="dxa" w:w="2500"/>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يعتمد على المحاولة العشوائية</w:t>
            </w:r>
          </w:p>
        </w:tc>
      </w:tr>
      <w:tr>
        <w:trPr>
          <w:tblHeader w:val="false"/>
        </w:trPr>
        <w:tc>
          <w:tcPr>
            <w:tcW w:type="dxa" w:w="1772"/>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العمل في المجموعة</w:t>
            </w:r>
          </w:p>
        </w:tc>
        <w:tc>
          <w:tcPr>
            <w:tcW w:type="dxa" w:w="2400"/>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يوزّع العمل مع المجموعة ويستمع إلى اقتراح مختلف</w:t>
            </w:r>
          </w:p>
        </w:tc>
        <w:tc>
          <w:tcPr>
            <w:tcW w:type="dxa" w:w="2400"/>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يشارك في التنفيذ دون مناقشة القرار</w:t>
            </w:r>
          </w:p>
        </w:tc>
        <w:tc>
          <w:tcPr>
            <w:tcW w:type="dxa" w:w="2500"/>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يعمل منفردًا داخل المجموعة</w:t>
            </w:r>
          </w:p>
        </w:tc>
      </w:tr>
      <w:tr>
        <w:trPr>
          <w:tblHeader w:val="false"/>
        </w:trPr>
        <w:tc>
          <w:tcPr>
            <w:tcW w:type="dxa" w:w="1772"/>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الربط بين الأجهزة</w:t>
            </w:r>
          </w:p>
        </w:tc>
        <w:tc>
          <w:tcPr>
            <w:tcW w:type="dxa" w:w="2400"/>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يربط الجهاز بجهاز آخر ويحدّد ما يُنقَل بينهما</w:t>
            </w:r>
          </w:p>
        </w:tc>
        <w:tc>
          <w:tcPr>
            <w:tcW w:type="dxa" w:w="2400"/>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يذكر علاقة عامة بلا تحديد ما يُنقَل</w:t>
            </w:r>
          </w:p>
        </w:tc>
        <w:tc>
          <w:tcPr>
            <w:tcW w:type="dxa" w:w="2500"/>
            <w:tcMar>
              <w:top w:type="dxa" w:w="80"/>
              <w:left w:type="dxa" w:w="100"/>
              <w:bottom w:type="dxa" w:w="80"/>
              <w:right w:type="dxa" w:w="100"/>
            </w:tcMar>
          </w:tcPr>
          <w:p>
            <w:pPr>
              <w:bidi/>
              <w:spacing w:after="0" w:line="240"/>
              <w:jc w:val="right"/>
            </w:pPr>
            <w:r>
              <w:rPr>
                <w:rFonts w:ascii="Times New Roman" w:cs="Simplified Arabic" w:hAnsi="Times New Roman"/>
                <w:b w:val="false"/>
                <w:bCs w:val="false"/>
                <w:sz w:val="24"/>
                <w:szCs w:val="24"/>
                <w:rtl/>
              </w:rPr>
              <w:t xml:space="preserve">لا يذكر علاقة</w:t>
            </w:r>
          </w:p>
        </w:tc>
      </w:tr>
    </w:tbl>
    <w:p>
      <w:pPr>
        <w:spacing w:after="200"/>
      </w:pPr>
    </w:p>
    <w:p>
      <w:pPr>
        <w:pStyle w:val="Heading1"/>
        <w:pageBreakBefore/>
        <w:bidi/>
        <w:spacing w:after="200" w:before="0" w:line="480"/>
        <w:jc w:val="right"/>
      </w:pPr>
      <w:r>
        <w:rPr>
          <w:rFonts w:ascii="Times New Roman" w:cs="Simplified Arabic" w:hAnsi="Times New Roman"/>
          <w:b/>
          <w:bCs/>
          <w:color w:val="000000"/>
          <w:sz w:val="32"/>
          <w:szCs w:val="32"/>
          <w:rtl/>
        </w:rPr>
        <w:t xml:space="preserve">ملحق ج: استمارة تغذية راجعة للتلاميذ</w:t>
      </w:r>
    </w:p>
    <w:p>
      <w:pPr>
        <w:bidi/>
        <w:spacing w:after="0" w:line="480"/>
        <w:ind w:firstLine="709"/>
        <w:jc w:val="both"/>
      </w:pPr>
      <w:r>
        <w:rPr>
          <w:rFonts w:ascii="Times New Roman" w:cs="Simplified Arabic" w:hAnsi="Times New Roman"/>
          <w:sz w:val="28"/>
          <w:szCs w:val="28"/>
          <w:rtl/>
        </w:rPr>
        <w:t xml:space="preserve">وُزِّعت الاستمارة في نهاية الدرس الخامس، وأُنتجت في Canva بصيغة بطاقة واحدة لكلّ تلميذ. الأسئلة الأربعة هي: ما الشيء الذي فهمته اليوم ولم أكن أفهمه قبل الوحدة؟ ما القطعة التي أخطأت في موضعها، ولماذا أظنّ أنّني أخطأت؟ ما النشاط الذي أحببته أكثر في الوحدة؟ ما الشيء الذي ما زلت أجده صعبًا؟</w:t>
      </w:r>
    </w:p>
    <w:p>
      <w:pPr>
        <w:bidi/>
        <w:spacing w:after="0" w:line="480"/>
        <w:ind w:firstLine="709"/>
        <w:jc w:val="both"/>
      </w:pPr>
      <w:r>
        <w:rPr>
          <w:rFonts w:ascii="Times New Roman" w:cs="Simplified Arabic" w:hAnsi="Times New Roman"/>
          <w:sz w:val="28"/>
          <w:szCs w:val="28"/>
          <w:rtl/>
        </w:rPr>
        <w:t xml:space="preserve">السؤال الثاني هو الأهمّ في الاستمارة، لأنّه يطلب من التلميذ أن يفكّر في خطئه لا أن يخفيه. أُضيف في أسفل البطاقة مربّع فارغ مخصّص للرسم، لمن يفضّل الرسم على الكتابة.</w:t>
      </w:r>
    </w:p>
    <w:p>
      <w:pPr>
        <w:pStyle w:val="Heading1"/>
        <w:pageBreakBefore/>
        <w:bidi/>
        <w:spacing w:after="200" w:before="0" w:line="480"/>
        <w:jc w:val="right"/>
      </w:pPr>
      <w:r>
        <w:rPr>
          <w:rFonts w:ascii="Times New Roman" w:cs="Simplified Arabic" w:hAnsi="Times New Roman"/>
          <w:b/>
          <w:bCs/>
          <w:color w:val="000000"/>
          <w:sz w:val="32"/>
          <w:szCs w:val="32"/>
          <w:rtl/>
        </w:rPr>
        <w:t xml:space="preserve">إقرار استخدام أدوات الذكاء الاصطناعي</w:t>
      </w:r>
    </w:p>
    <w:p>
      <w:pPr>
        <w:bidi/>
        <w:spacing w:after="0" w:line="480"/>
        <w:ind w:firstLine="709"/>
        <w:jc w:val="both"/>
      </w:pPr>
      <w:r>
        <w:rPr>
          <w:rFonts w:ascii="Times New Roman" w:cs="Simplified Arabic" w:hAnsi="Times New Roman"/>
          <w:sz w:val="28"/>
          <w:szCs w:val="28"/>
          <w:rtl/>
        </w:rPr>
        <w:t xml:space="preserve">يُملأ هذا القسم وفق النموذج الرسمي المعتمد في موقع الكورس. تُدرج فيه الأداة المستخدمة، والغرض من استخدامها، والأجزاء التي أُنتجت بمساعدتها، والأجزاء التي كُتبت دون مساعدة، مع توقيع الطالبة وتاريخه.</w:t>
      </w:r>
    </w:p>
    <w:p>
      <w:pPr>
        <w:bidi/>
        <w:spacing w:after="0" w:line="480"/>
        <w:ind w:firstLine="709"/>
        <w:jc w:val="both"/>
      </w:pPr>
      <w:r>
        <w:rPr>
          <w:rFonts w:ascii="Times New Roman" w:cs="Simplified Arabic" w:hAnsi="Times New Roman"/>
          <w:sz w:val="28"/>
          <w:szCs w:val="28"/>
          <w:rtl/>
        </w:rPr>
        <w:t xml:space="preserve">[يُلصق هنا نصّ النموذج الرسمي كما ورد في موقع الكورس، ثم تُملأ خاناته.]</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Simplified Arabic"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start="709"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Simplified Arabic" w:hAnsi="Times New Roman"/>
        <w:sz w:val="28"/>
        <w:szCs w:val="28"/>
      </w:rPr>
    </w:rPrDefault>
    <w:pPrDefault>
      <w:pPr>
        <w:spacing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2026-08-08T21:26:33.800Z</dcterms:created>
  <dcterms:modified xsi:type="dcterms:W3CDTF">2026-08-08T21:26:33.801Z</dcterms:modified>
</cp:coreProperties>
</file>

<file path=docProps/custom.xml><?xml version="1.0" encoding="utf-8"?>
<Properties xmlns="http://schemas.openxmlformats.org/officeDocument/2006/custom-properties" xmlns:vt="http://schemas.openxmlformats.org/officeDocument/2006/docPropsVTypes"/>
</file>