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360" w:lineRule="auto" w:after="0"/>
        <w:jc w:val="both"/>
      </w:pPr>
      <w:r>
        <w:rPr>
          <w:rFonts w:ascii="David" w:hAnsi="David" w:cs="David"/>
          <w:b w:val="0"/>
          <w:sz w:val="24"/>
          <w:szCs w:val="24"/>
          <w:rtl w:val="1"/>
        </w:rPr>
      </w:r>
    </w:p>
    <w:p>
      <w:pPr>
        <w:bidi w:val="1"/>
        <w:spacing w:line="360" w:lineRule="auto" w:after="0"/>
        <w:jc w:val="both"/>
      </w:pPr>
      <w:r>
        <w:rPr>
          <w:rFonts w:ascii="David" w:hAnsi="David" w:cs="David"/>
          <w:b w:val="0"/>
          <w:sz w:val="24"/>
          <w:szCs w:val="24"/>
          <w:rtl w:val="1"/>
        </w:rPr>
      </w:r>
    </w:p>
    <w:p>
      <w:pPr>
        <w:bidi w:val="1"/>
        <w:spacing w:line="360" w:lineRule="auto" w:after="0"/>
        <w:jc w:val="both"/>
      </w:pPr>
      <w:r>
        <w:rPr>
          <w:rFonts w:ascii="David" w:hAnsi="David" w:cs="David"/>
          <w:b w:val="0"/>
          <w:sz w:val="24"/>
          <w:szCs w:val="24"/>
          <w:rtl w:val="1"/>
        </w:rPr>
      </w:r>
    </w:p>
    <w:p>
      <w:pPr>
        <w:bidi w:val="1"/>
        <w:spacing w:line="360" w:lineRule="auto" w:after="40"/>
        <w:jc w:val="center"/>
      </w:pPr>
      <w:r>
        <w:rPr>
          <w:rFonts w:ascii="David" w:hAnsi="David" w:cs="David"/>
          <w:b w:val="0"/>
          <w:sz w:val="28"/>
          <w:szCs w:val="28"/>
          <w:rtl w:val="1"/>
        </w:rPr>
        <w:t>התוכנית למדעי היהדות</w:t>
      </w:r>
    </w:p>
    <w:p>
      <w:pPr>
        <w:bidi w:val="1"/>
        <w:spacing w:line="360" w:lineRule="auto" w:after="360"/>
        <w:jc w:val="center"/>
      </w:pPr>
      <w:r>
        <w:rPr>
          <w:rFonts w:ascii="David" w:hAnsi="David" w:cs="David"/>
          <w:b w:val="0"/>
          <w:sz w:val="28"/>
          <w:szCs w:val="28"/>
          <w:rtl w:val="1"/>
        </w:rPr>
        <w:t>לימודים לתואר מוסמך</w:t>
      </w:r>
    </w:p>
    <w:p>
      <w:pPr>
        <w:bidi w:val="1"/>
        <w:spacing w:line="360" w:lineRule="auto" w:after="80"/>
        <w:jc w:val="center"/>
      </w:pPr>
      <w:r>
        <w:rPr>
          <w:rFonts w:ascii="David" w:hAnsi="David" w:cs="David"/>
          <w:b/>
          <w:sz w:val="32"/>
          <w:szCs w:val="32"/>
          <w:rtl w:val="1"/>
        </w:rPr>
        <w:t>עבודת סיום קורס</w:t>
      </w:r>
    </w:p>
    <w:p>
      <w:pPr>
        <w:bidi w:val="1"/>
        <w:spacing w:line="360" w:lineRule="auto" w:after="400"/>
        <w:jc w:val="center"/>
      </w:pPr>
      <w:r>
        <w:rPr>
          <w:rFonts w:ascii="David" w:hAnsi="David" w:cs="David"/>
          <w:b/>
          <w:sz w:val="36"/>
          <w:szCs w:val="36"/>
          <w:rtl w:val="1"/>
        </w:rPr>
        <w:t>אדם, ספרות ומעשה בימי חז"ל</w:t>
      </w:r>
    </w:p>
    <w:p>
      <w:pPr>
        <w:bidi w:val="1"/>
        <w:spacing w:line="360" w:lineRule="auto" w:after="40"/>
        <w:jc w:val="center"/>
      </w:pPr>
      <w:r>
        <w:rPr>
          <w:rFonts w:ascii="David" w:hAnsi="David" w:cs="David"/>
          <w:b w:val="0"/>
          <w:sz w:val="24"/>
          <w:szCs w:val="24"/>
          <w:rtl w:val="1"/>
        </w:rPr>
        <w:t>מרצה: הרב חגית סבאג ישראל</w:t>
      </w:r>
    </w:p>
    <w:p>
      <w:pPr>
        <w:bidi w:val="1"/>
        <w:spacing w:line="360" w:lineRule="auto" w:after="40"/>
        <w:jc w:val="center"/>
      </w:pPr>
      <w:r>
        <w:rPr>
          <w:rFonts w:ascii="David" w:hAnsi="David" w:cs="David"/>
          <w:b w:val="0"/>
          <w:sz w:val="24"/>
          <w:szCs w:val="24"/>
          <w:rtl w:val="1"/>
        </w:rPr>
        <w:t>מגישה: [שם מלא + ת"ז]</w:t>
      </w:r>
    </w:p>
    <w:p>
      <w:pPr>
        <w:bidi w:val="1"/>
        <w:spacing w:line="360" w:lineRule="auto" w:after="40"/>
        <w:jc w:val="center"/>
      </w:pPr>
      <w:r>
        <w:rPr>
          <w:rFonts w:ascii="David" w:hAnsi="David" w:cs="David"/>
          <w:b w:val="0"/>
          <w:sz w:val="24"/>
          <w:szCs w:val="24"/>
          <w:rtl w:val="1"/>
        </w:rPr>
        <w:t>סמסטר ב', תשפ"ו</w:t>
      </w:r>
    </w:p>
    <w:p>
      <w:r>
        <w:br w:type="page"/>
      </w:r>
    </w:p>
    <w:p>
      <w:pPr>
        <w:bidi w:val="1"/>
        <w:spacing w:line="360" w:lineRule="auto" w:before="200" w:after="80"/>
        <w:jc w:val="right"/>
      </w:pPr>
      <w:r>
        <w:rPr>
          <w:rFonts w:ascii="David" w:hAnsi="David" w:cs="David"/>
          <w:b/>
          <w:sz w:val="26"/>
          <w:szCs w:val="26"/>
          <w:rtl w:val="1"/>
        </w:rPr>
        <w:t>שאלה 1: מקור למנהיגות - עגלה ערופה והאחריות על מי שנשמט</w:t>
      </w:r>
    </w:p>
    <w:p>
      <w:pPr>
        <w:bidi w:val="1"/>
        <w:spacing w:line="360" w:lineRule="auto" w:after="160"/>
        <w:jc w:val="both"/>
      </w:pPr>
      <w:r>
        <w:rPr>
          <w:rFonts w:ascii="David" w:hAnsi="David" w:cs="David"/>
          <w:b w:val="0"/>
          <w:sz w:val="24"/>
          <w:szCs w:val="24"/>
          <w:rtl w:val="1"/>
        </w:rPr>
        <w:t>בחרתי בפרשת עגלה ערופה, ובקריאה שחז"ל קוראים בה, כי יש בה בדיוק המסר שהייתי רוצה לחדד בפני קבוצה שאני מובילה. מנהיג אחראי גם על מי שנשמט מתשומת ליבו, ולא רק על מה שעשה במו ידיו.</w:t>
      </w:r>
    </w:p>
    <w:p>
      <w:pPr>
        <w:bidi w:val="1"/>
        <w:spacing w:line="360" w:lineRule="auto" w:after="160"/>
        <w:jc w:val="both"/>
      </w:pPr>
      <w:r>
        <w:rPr>
          <w:rFonts w:ascii="David" w:hAnsi="David" w:cs="David"/>
          <w:b w:val="0"/>
          <w:sz w:val="24"/>
          <w:szCs w:val="24"/>
          <w:rtl w:val="1"/>
        </w:rPr>
        <w:t>א. הטקסט. התורה מצווה שכאשר נמצא חלל בשדה ורוצחו אינו ידוע, זקני העיר הקרובה עורפים עגלה ורוחצים את ידיהם ואומרים: "יָדֵינוּ לֹא שָׁפְכוּ אֶת הַדָּם הַזֶּה, וְעֵינֵינוּ לֹא רָאוּ" (דברים כא, ז). המשנה נעצרת דווקא על ההצהרה הזאת ושואלת: "וכי על דעתנו עלתה שזקני בית דין שופכי דמים הן?! אלא שלא בא לידינו ופטרנוהו בלא מזון, ולא ראינוהו והנחנוהו בלא לויה" (משנה, סוטה ט, ו).</w:t>
      </w:r>
    </w:p>
    <w:p>
      <w:pPr>
        <w:bidi w:val="1"/>
        <w:spacing w:line="360" w:lineRule="auto" w:after="160"/>
        <w:jc w:val="both"/>
      </w:pPr>
      <w:r>
        <w:rPr>
          <w:rFonts w:ascii="David" w:hAnsi="David" w:cs="David"/>
          <w:b w:val="0"/>
          <w:sz w:val="24"/>
          <w:szCs w:val="24"/>
          <w:rtl w:val="1"/>
        </w:rPr>
        <w:t>ב. תיאור הטקסט. מקורו של הדין במקרא, בפרשת שופטים (דברים כא, א-ט), כטקס כפרה על רצח שמבצעו לא נודע. הדמויות המרכזיות הן זקני העיר והשופטים, כלומר ההנהגה, והכוהנים המבקשים כפרה. הסיטואציה היא מציאות של אלימות ואחריות מפוזרת: אדם נרצח בשוליים, בשדה, בין הערים, ואיש אינו יודע מי הכה אותו. השאלה שהמקרא משאיר פתוחה, מי אשם, מקבלת אצל חז"ל תשובה מפתיעה. הזקנים אינם מצהירים על חפותם מרצח, שהרי ברור שלא רצחו, אלא מקבלים על עצמם אחריות מסוג אחר: לא דאגנו שילווה ולא ראינו שיצא בלי צידה.</w:t>
      </w:r>
    </w:p>
    <w:p>
      <w:pPr>
        <w:bidi w:val="1"/>
        <w:spacing w:line="360" w:lineRule="auto" w:after="160"/>
        <w:jc w:val="both"/>
      </w:pPr>
      <w:r>
        <w:rPr>
          <w:rFonts w:ascii="David" w:hAnsi="David" w:cs="David"/>
          <w:b w:val="0"/>
          <w:sz w:val="24"/>
          <w:szCs w:val="24"/>
          <w:rtl w:val="1"/>
        </w:rPr>
        <w:t>ג. מדוע הוא רלוונטי. כאן טמון הכוח של הטקסט למי שמוביל קבוצה. חז"ל הופכים הצהרת חפות להצהרת אחריות. הם קוראים לתוך הפסוק שאלה על מנהיגות: לא רק "האם הרמתי יד", אלא "האם שמתי לב שמישהו יוצא לדרך לבד, בלי מזון ובלי מלווה". התלמוד מרחיב את זה עד הקצה: "כל שאינו מלוה ומתלוה כאילו שופך דמים" (בבלי, סוטה מו ע"ב). את המסר הזה הייתי מביאה לקבוצה שאני מובילה. הקלות שבה אנחנו פוטרים את עצמנו, "אני לא עשיתי כלום", היא בדיוק מה שהמשנה באה לפרק. המבחן האמיתי של מנהיג הוא דווקא מי שיצא מהחדר בלי שליווה אותו, לא מי שנשאר בפנים. ויש כאן גם דוגמה יפה לתנועה שהקורס עסק בה, מהמקרא אל המשנה ואל התלמוד. ההלכה המקראית נשארת במקומה, והמשמעות המוסרית שנקראת לתוכה רק הולכת ומעמיקה.</w:t>
      </w:r>
    </w:p>
    <w:p>
      <w:pPr>
        <w:bidi w:val="1"/>
        <w:spacing w:line="360" w:lineRule="auto" w:after="160"/>
        <w:jc w:val="both"/>
      </w:pPr>
      <w:r>
        <w:rPr>
          <w:rFonts w:ascii="David" w:hAnsi="David" w:cs="David"/>
          <w:b w:val="0"/>
          <w:sz w:val="24"/>
          <w:szCs w:val="24"/>
          <w:rtl w:val="1"/>
        </w:rPr>
        <w:t>בקבוצה שאני מובילה זה מתורגם לשאלות יומיומיות. מי לא הגיע היום ולא טרחנו לברר למה. מי נשאר בשוליים של השיחה בלי שאיש פנה אליו. מי יצא בסוף המפגש לבד. המשנה מזכירה לי שהימנעות מפעולה היא בעצמה מעשה, ושהאדישות של מנהיג נזקפת לחובתו כמעט כמו מעשה של ממש. זה מסר לא נוח, ודווקא משום כך הוא כזה שכדאי לומר בקול.</w:t>
      </w:r>
    </w:p>
    <w:p>
      <w:pPr>
        <w:bidi w:val="1"/>
        <w:spacing w:line="360" w:lineRule="auto" w:before="200" w:after="80"/>
        <w:jc w:val="right"/>
      </w:pPr>
      <w:r>
        <w:rPr>
          <w:rFonts w:ascii="David" w:hAnsi="David" w:cs="David"/>
          <w:b/>
          <w:sz w:val="26"/>
          <w:szCs w:val="26"/>
          <w:rtl w:val="1"/>
        </w:rPr>
        <w:t>שאלה 2: החיבור המשמעותי ביותר - המשנה</w:t>
      </w:r>
    </w:p>
    <w:p>
      <w:pPr>
        <w:bidi w:val="1"/>
        <w:spacing w:line="360" w:lineRule="auto" w:after="160"/>
        <w:jc w:val="both"/>
      </w:pPr>
      <w:r>
        <w:rPr>
          <w:rFonts w:ascii="David" w:hAnsi="David" w:cs="David"/>
          <w:b w:val="0"/>
          <w:sz w:val="24"/>
          <w:szCs w:val="24"/>
          <w:rtl w:val="1"/>
        </w:rPr>
        <w:t>בעיניי החיבור המשמעותי ביותר של תקופת חז"ל הוא המשנה. היא אמנם לא הראשונה בזמן, אבל היא זו שקבעה את הצורה שבה היהדות תלמד ותתווכח מאז ועד היום.</w:t>
      </w:r>
    </w:p>
    <w:p>
      <w:pPr>
        <w:bidi w:val="1"/>
        <w:spacing w:line="360" w:lineRule="auto" w:after="160"/>
        <w:jc w:val="both"/>
      </w:pPr>
      <w:r>
        <w:rPr>
          <w:rFonts w:ascii="David" w:hAnsi="David" w:cs="David"/>
          <w:b w:val="0"/>
          <w:sz w:val="24"/>
          <w:szCs w:val="24"/>
          <w:rtl w:val="1"/>
        </w:rPr>
        <w:t>א. תיאור החיבור. המשנה נערכה בארץ ישראל בסביבות שנת 200 לספירה, בגליל שלאחר מרד בר כוכבא, על ידי רבי יהודה הנשיא. היא בנויה בשישה סדרים, זרעים, מועד, נשים, נזיקין, קדשים וטהרות, וכתובה בעברית תמציתית, בסגנון קצר ופסקני שמנסח הלכה ומחלוקת זו לצד זו. זהו הניסוח המקיף הראשון של התורה שבעל פה כגוף ידע מסודר.</w:t>
      </w:r>
    </w:p>
    <w:p>
      <w:pPr>
        <w:bidi w:val="1"/>
        <w:spacing w:line="360" w:lineRule="auto" w:after="160"/>
        <w:jc w:val="both"/>
      </w:pPr>
      <w:r>
        <w:rPr>
          <w:rFonts w:ascii="David" w:hAnsi="David" w:cs="David"/>
          <w:b w:val="0"/>
          <w:sz w:val="24"/>
          <w:szCs w:val="24"/>
          <w:rtl w:val="1"/>
        </w:rPr>
        <w:t>העריכה הזאת לא נעשתה בחלל ריק. היא באה אחרי דור שראה את חורבן הבית ואת דיכוי מרד בר כוכבא, תקופה של אבדן מרכזים, של הרוגים ושל סכנה ממשית שהמסורת שנמסרה עד אז בעל פה תישכח. רבי אסף, ערך וקבע נוסח, וכך הפך זרם של דברים שנשמעו בבתי המדרש לחיבור אחד שאפשר ללמד, ללמוד ולמסור הלאה. עצם ההחלטה לקבע את התורה שבעל פה במסגרת ברורה היא כבר מעשה של הצלה.</w:t>
      </w:r>
    </w:p>
    <w:p>
      <w:pPr>
        <w:bidi w:val="1"/>
        <w:spacing w:line="360" w:lineRule="auto" w:after="160"/>
        <w:jc w:val="both"/>
      </w:pPr>
      <w:r>
        <w:rPr>
          <w:rFonts w:ascii="David" w:hAnsi="David" w:cs="David"/>
          <w:b w:val="0"/>
          <w:sz w:val="24"/>
          <w:szCs w:val="24"/>
          <w:rtl w:val="1"/>
        </w:rPr>
        <w:t>ב. משמעותה והשינוי שחוללה. הלברטל, במבוא למשנה, קובע שהמשנה היא "תוצר של עלייתו של אידיאל טיפוס חדש: התלמיד חכם, והולדתה במוסד חדש: בית המדרש". לדבריו, דווקא משום שהחכמים אינם מדברים בשם ההתגלות, כפי שדיברו הנביאים, המחלוקת ביניהם לגיטימית, וזו הסיבה שהמשנה יכולה לשמר דעות חלוקות זו לצד זו בתוך הטקסט המחייב. זו התנועה שהקורס כינה "מנביא לחכם": מרכז הכובד של הדת עובר מן הנבואה ומן המקדש אל בית המדרש ואל ציבור החכמים. המשנה מכוננת בכך את התורה שבעל פה כמערכת בפני עצמה, ומשנה את פני היהדות. השפעתה עצומה, שני התלמודים נבנו עליה כפירוש, וכל ההלכה שאחריה יונקת ממנה.</w:t>
      </w:r>
    </w:p>
    <w:p>
      <w:pPr>
        <w:bidi w:val="1"/>
        <w:spacing w:line="360" w:lineRule="auto" w:after="160"/>
        <w:jc w:val="both"/>
      </w:pPr>
      <w:r>
        <w:rPr>
          <w:rFonts w:ascii="David" w:hAnsi="David" w:cs="David"/>
          <w:b w:val="0"/>
          <w:sz w:val="24"/>
          <w:szCs w:val="24"/>
          <w:rtl w:val="1"/>
        </w:rPr>
        <w:t>אפשר לראות את תפיסת העולם של המשנה כבר במבנה שלה. היא נפתחת בסדר זרעים בשאלה מאימתי קוראים את שמע, כלומר בקבלת עול מלכות שמים, ומסתיימת בטהרות בדברי שבח לשלום. המהלך מן ההכרזה על מלכות האל ועד השלום איננו מקרי. הוא מסמן שהמשנה איננה אוסף דינים בלבד, יש בה חזון שלם של חיים.</w:t>
      </w:r>
    </w:p>
    <w:p>
      <w:pPr>
        <w:bidi w:val="1"/>
        <w:spacing w:line="360" w:lineRule="auto" w:after="160"/>
        <w:jc w:val="both"/>
      </w:pPr>
      <w:r>
        <w:rPr>
          <w:rFonts w:ascii="David" w:hAnsi="David" w:cs="David"/>
          <w:b w:val="0"/>
          <w:sz w:val="24"/>
          <w:szCs w:val="24"/>
          <w:rtl w:val="1"/>
        </w:rPr>
        <w:t>ג. דוגמה. מאפיין ייחודי של המשנה הוא שהיא משמרת גם את דעת היחיד שנדחתה. במסכת עדויות נאמר: "ולמה מזכירין דברי היחיד בין המרובין... שאם יראה בית דין את דברי היחיד ויסמוך עליו" (משנה, עדויות א, ה). כלומר המשנה שומרת בכוונה את הדעה שלא נפסקה כהלכה, כדי שבית דין עתידי יוכל להיזקק לה. זו דוגמה מדויקת לאופייה. יש בה סמכות והכרעה, ובאותה נשימה ריבוי קולות ומחלוקת חיה בתוך הטקסט המחייב עצמו. הפתיחות הזאת היא שהפכה את המשנה לבסיס של דיון שנמשך אלפי שנים. היהדות למדה ממנה לשמר את המחלוקת בתוך הקאנון במקום למחוק את הצד שכנגד.</w:t>
      </w:r>
    </w:p>
    <w:p>
      <w:pPr>
        <w:bidi w:val="1"/>
        <w:spacing w:line="360" w:lineRule="auto" w:after="160"/>
        <w:jc w:val="both"/>
      </w:pPr>
      <w:r>
        <w:rPr>
          <w:rFonts w:ascii="David" w:hAnsi="David" w:cs="David"/>
          <w:b w:val="0"/>
          <w:sz w:val="24"/>
          <w:szCs w:val="24"/>
          <w:rtl w:val="1"/>
        </w:rPr>
        <w:t>מאפיין נוסף שהלברטל עומד עליו הוא הלשון. חכמי המשנה הקפידו להבחין את לשונם מלשון המקרא, וניסחו את ההלכה בעברית קצרה, חדה ונוקבת, בלי סלסולים. יותר מזה, הם טבעו מושגים וקטגוריות חדשים לגמרי, כמו "מפני תיקון העולם", "מפני דרכי שלום", "בין אדם לחברו" ו"בין אדם למקום". אלה אינם רק כותרות, הם כלים של מחשבה שבאמצעותם ארגנה המשנה את המציאות מחדש. השפה עצמה היא חלק מהחידוש. חדש לא רק מה שנאמר, גם הדרך שבה הוא מנוסח.</w:t>
      </w:r>
    </w:p>
    <w:p>
      <w:pPr>
        <w:bidi w:val="1"/>
        <w:spacing w:line="360" w:lineRule="auto" w:before="200" w:after="80"/>
        <w:jc w:val="right"/>
      </w:pPr>
      <w:r>
        <w:rPr>
          <w:rFonts w:ascii="David" w:hAnsi="David" w:cs="David"/>
          <w:b/>
          <w:sz w:val="26"/>
          <w:szCs w:val="26"/>
          <w:rtl w:val="1"/>
        </w:rPr>
        <w:t>שאלה 3: הסרט "אגדת חורבן" ויציאת רבן יוחנן בן זכאי</w:t>
      </w:r>
    </w:p>
    <w:p>
      <w:pPr>
        <w:bidi w:val="1"/>
        <w:spacing w:line="360" w:lineRule="auto" w:after="160"/>
        <w:jc w:val="both"/>
      </w:pPr>
      <w:r>
        <w:rPr>
          <w:rFonts w:ascii="David" w:hAnsi="David" w:cs="David"/>
          <w:b w:val="0"/>
          <w:sz w:val="24"/>
          <w:szCs w:val="24"/>
          <w:rtl w:val="1"/>
        </w:rPr>
        <w:t>א. המדרש. הקטע מבוסס על סיפור יציאת רבן יוחנן בן זכאי מירושלים הנצורה ובקשת יבנה, בבבלי, מסכת גיטין נו ע"א-ע"ב. בלב המדרש עומדת התחבולה והמפגש עם הקיסר. התחבולה נרקמת בעצת אבא סיקרא, ראש הבריונים ובן אחותו של ריב"ז. הבריונים, שהחזיקו בעיר ביד קשה ואף שרפו את מחסני המזון כדי לאלץ את התושבים להילחם, אינם מתירים לאיש לצאת מן העיר החוצה אלא למתים בלבד. אבא סיקרא מייעץ לרבו להעמיד פני חולה ואחר כך פני מת, כדי שתלמידיו יוכלו להוציא את ארונו. ריב"ז עושה כן, וכשהוא מגיע אל מחנהו של אספסיאנוס הוא פונה אליו: "שלום עליך המלך". אספסיאנוס משיב שהוא חייב מיתה, שהרי קרא לו מלך והוא אינו מלך, ואם הוא מלך, מדוע לא בא עד עתה. באותו רגע ממש מגיע שליח מרומא ומבשר שאספסיאנוס נתמנה לקיסר, והברכה מתאמתת מאליה. אז מבקש ריב"ז את בקשתו: "תן לי יבנה וחכמיה" (בבלי, גיטין נו ע"ב).</w:t>
      </w:r>
    </w:p>
    <w:p>
      <w:pPr>
        <w:bidi w:val="1"/>
        <w:spacing w:line="360" w:lineRule="auto" w:after="160"/>
        <w:jc w:val="both"/>
      </w:pPr>
      <w:r>
        <w:rPr>
          <w:rFonts w:ascii="David" w:hAnsi="David" w:cs="David"/>
          <w:b w:val="0"/>
          <w:sz w:val="24"/>
          <w:szCs w:val="24"/>
          <w:rtl w:val="1"/>
        </w:rPr>
        <w:t>ב. בין המדרש לסרט. שלושה קווי דמיון: בשניהם ריב"ז נמלט מן העיר הנצורה בהעמדת פני מת, ותלמידיו נושאים את ארונו החוצה משום שהקנאים אוסרים על החיים לצאת. בשניהם עולה מוטיב בדיקת המת, הרצון לדקור את הארון כדי לוודא שהנפטר אכן מת, ומישהו מונע זאת בשם כבוד התורה. ובשניהם ריב"ז מברך את המצביא הרומי, מנבא לו שלטון, ומבקש את יבנה כדי להציל את תורת ישראל. לעומת זאת יש שלושה הבדלים בולטים. במדרש המצביא הוא אספסיאנוס, ובסרט זה טיטוס. במדרש הנבואה מתקיימת מיד, כשהשליח מבשר על המינוי, ואילו בסרט טיטוס מתנה את יבנה בהתגשמות עתידית ומשליך את ריב"ז אל מכלאת השבויים. ובמדרש ריב"ז מבקש שלוש בקשות, יבנה וחכמיה, שושלת רבן גמליאל ורפואה לרבי צדוק, ואילו הסרט מתמקד בבקשה האחת על יבנה ותלמידיו, ומוסיף לה את דמות ברניקי שאינה במדרש.</w:t>
      </w:r>
    </w:p>
    <w:p>
      <w:pPr>
        <w:bidi w:val="1"/>
        <w:spacing w:line="360" w:lineRule="auto" w:after="160"/>
        <w:jc w:val="both"/>
      </w:pPr>
      <w:r>
        <w:rPr>
          <w:rFonts w:ascii="David" w:hAnsi="David" w:cs="David"/>
          <w:b w:val="0"/>
          <w:sz w:val="24"/>
          <w:szCs w:val="24"/>
          <w:rtl w:val="1"/>
        </w:rPr>
        <w:t>ההבדל בין אספסיאנוס לטיטוס אינו רק שינוי שם. במדרש הנבואה מתגשמת על המקום, והשליח מרומא מאשר את דברי ריב"ז מיד, כך שהחכם מצטייר כמי שרואה את הנולד ואלוהי ישראל פועל דרך ההיסטוריה. בסרט הנבואה נשארת פתוחה והכרעתה מושהית, וטיטוס המתגרה מבקש "להראות את כוח אלי רומא". כך הסרט מחזיר אל הסיפור את המתח ואת הספק, במקום הוודאות הדתית של המדרש, ובכך הוא נאמן פחות לאגדה אבל קרוב יותר לתחושת אדם מודרני שאינו יודע כיצד ייגמר.</w:t>
      </w:r>
    </w:p>
    <w:p>
      <w:pPr>
        <w:bidi w:val="1"/>
        <w:spacing w:line="360" w:lineRule="auto" w:after="160"/>
        <w:jc w:val="both"/>
      </w:pPr>
      <w:r>
        <w:rPr>
          <w:rFonts w:ascii="David" w:hAnsi="David" w:cs="David"/>
          <w:b w:val="0"/>
          <w:sz w:val="24"/>
          <w:szCs w:val="24"/>
          <w:rtl w:val="1"/>
        </w:rPr>
        <w:t>רגע המעבר עצמו טעון בסמליות. ריב"ז יוצא מן העיר בתוך ארון, כמת, וזה בדיוק מה שמאפשר לו לחיות ולהמשיך. העיר הנצורה, שהקנאים אוסרים לצאת ממנה, מתפקדת כקבר, ומי שמוותר לכאורה על החיים הוא זה שמציל אותם. אפשר לקרוא את זה כתמונה של החורבן כולו: מה שנראה כמוות, הוא ראשיתה של לידה מחדש.</w:t>
      </w:r>
    </w:p>
    <w:p>
      <w:pPr>
        <w:bidi w:val="1"/>
        <w:spacing w:line="360" w:lineRule="auto" w:after="160"/>
        <w:jc w:val="both"/>
      </w:pPr>
      <w:r>
        <w:rPr>
          <w:rFonts w:ascii="David" w:hAnsi="David" w:cs="David"/>
          <w:b w:val="0"/>
          <w:sz w:val="24"/>
          <w:szCs w:val="24"/>
          <w:rtl w:val="1"/>
        </w:rPr>
        <w:t>ג. בעזרת המאמר. לורברבוים, במאמרו "ממקדש לאדם: תמורות במוקד הקדושה בספרות חז"ל", פותח ברקע היסטורי רחב. חוקרים של המאות הראשונות לספירה הראו שהמוקד הדתי בתקופה הזאת עבר בהדרגה ממקומות קדושים אל בני אדם קדושים, וכי הפיחות בקדושת המקום לא נבע רק מחורבן מקדשים אלא משינוי עמוק בתודעה הדתית. על הרקע הזה מראה לורברבוים שספרות חז"ל, ובעיקר השכבה התנאית, מעתיקה את מוקד הקדושה מן המקדש אל האדם. הוא מדגיש נקודה ייחודית: ההעתקה הרבנית אינה אל אישיות קדושה ויוצאת דופן, אלא אל האדם, אל כל אדם, מכוח הרעיון שהאדם נברא בצלם אלוהים. בקשתו של ריב"ז מגלמת את ראשית התנועה הזאת. הוא אינו מבקש להציל את המקדש אלא את יבנה וחכמיה, ובכך בוחר בהמשכיות התורה ובבני האדם הלומדים אותה על פני המרכז הפיזי. מרקס, בניתוח סיפור ריב"ז והקמת יבנה, מוסיפה שהיציאה בארון היא הצגה סמלית של עצם השינוי: היהדות שהיתה דת של גוף, של ארץ ושל פולחן במקדש נולדת מחדש כ"עם הספר", ולדבריה האגדה אינה מתארת את המעבר בלבד אלא יוצרת אותו ומעניקה לו משמעות. על רקע זה מובנת גם הביקורת המרומזת על ריב"ז. הדרשן רומז שאולי היה יכול לבקש יותר, ואף מפעיל על החכם את הפסוק "משיב חכמים אחור" (ישעיהו מד, כה), כלומר גם חכמתו של הגדול הוגבלה ברגע הגורלי. השתיקה והספק אינם פגם בסיפור, הם חלק ממנו, והאגדה מתלבטת בשאלה מה מותר ואפשר להציל כשהכול קורס.</w:t>
      </w:r>
    </w:p>
    <w:p>
      <w:pPr>
        <w:bidi w:val="1"/>
        <w:spacing w:line="360" w:lineRule="auto" w:after="160"/>
        <w:jc w:val="both"/>
      </w:pPr>
      <w:r>
        <w:rPr>
          <w:rFonts w:ascii="David" w:hAnsi="David" w:cs="David"/>
          <w:b w:val="0"/>
          <w:sz w:val="24"/>
          <w:szCs w:val="24"/>
          <w:rtl w:val="1"/>
        </w:rPr>
        <w:t>שווה לעצור רגע על שלוש הבקשות עצמן, כי דווקא בהן מסתתר החזון. ריב"ז אינו מבקש נשק, לא כסף ולא שלטון. הוא מבקש את יבנה וחכמיה, כלומר מקום ללמוד בו, את שושלת רבן גמליאל, כלומר המשכיות של הנהגה מוכרת, ורופאים לרבי צדוק, החכם שהתענה שנים על סף החורבן, כלומר את חייו של אדם אחד. בשלוש הבקשות האלה יש כמעט כל מה שצריך כדי להתחיל מחדש: מקום לימוד, הנהגה, ואדם חי. מי שקורא את זה היום יכול לשאול את עצמו מה הוא היה מבקש ברגע כזה, וכמה קל להתפתות לבקש דווקא את מה שנחרב במקום את מה שיאפשר לבנות מחדש.</w:t>
      </w:r>
    </w:p>
    <w:p>
      <w:pPr>
        <w:bidi w:val="1"/>
        <w:spacing w:line="360" w:lineRule="auto" w:after="160"/>
        <w:jc w:val="both"/>
      </w:pPr>
      <w:r>
        <w:rPr>
          <w:rFonts w:ascii="David" w:hAnsi="David" w:cs="David"/>
          <w:b w:val="0"/>
          <w:sz w:val="24"/>
          <w:szCs w:val="24"/>
          <w:rtl w:val="1"/>
        </w:rPr>
        <w:t>ד. משמעותו לימינו. לדעתי זהו המדרש הנלמד ביותר על החורבן משום שהוא סיפור המכונן של ההישרדות היהודית. הוא מספר איך דת שנשענה על מקדש וקורבנות הפכה לדת של לימוד וטקסט, ניידת, שיכולה לשרוד בכל מקום. "תן לי יבנה וחכמיה" הוא הרגע שבו נבחרת ההמשכיות הרוחנית על פני הריבונות והאבן. לכן הוא נשאר רלוונטי. הוא המודל של בנייה מחדש אחרי אסון, ושל הבחירה בחיים ובלימוד גם כשהמרכז נחרב. אפשר לומר שהסיפור נתן לעם היהודי מולדת ניידת: כל עוד יש חכמים ובית מדרש, אפשר להתחיל מחדש בכל מקום. זו הסיבה שהמדרש הזה חזר ולּמד בכל דור שבו איים על העם משבר או גלות, ולא נשאר סיפור על עבר רחוק אלא נעשה מפתח להווה.</w:t>
      </w:r>
    </w:p>
    <w:p>
      <w:pPr>
        <w:bidi w:val="1"/>
        <w:spacing w:line="360" w:lineRule="auto" w:before="200" w:after="80"/>
        <w:jc w:val="right"/>
      </w:pPr>
      <w:r>
        <w:rPr>
          <w:rFonts w:ascii="David" w:hAnsi="David" w:cs="David"/>
          <w:b/>
          <w:sz w:val="26"/>
          <w:szCs w:val="26"/>
          <w:rtl w:val="1"/>
        </w:rPr>
        <w:t>שאלה 4: ר' אליעזר בן הורקנוס - כיצד נעשים חכם</w:t>
      </w:r>
    </w:p>
    <w:p>
      <w:pPr>
        <w:bidi w:val="1"/>
        <w:spacing w:line="360" w:lineRule="auto" w:after="160"/>
        <w:jc w:val="both"/>
      </w:pPr>
      <w:r>
        <w:rPr>
          <w:rFonts w:ascii="David" w:hAnsi="David" w:cs="David"/>
          <w:b w:val="0"/>
          <w:sz w:val="24"/>
          <w:szCs w:val="24"/>
          <w:rtl w:val="1"/>
        </w:rPr>
        <w:t>בחרתי במדרש על תחילת דרכו של ר' אליעזר בן הורקנוס (אבות דרבי נתן, נוסח א).</w:t>
      </w:r>
    </w:p>
    <w:p>
      <w:pPr>
        <w:bidi w:val="1"/>
        <w:spacing w:line="360" w:lineRule="auto" w:after="160"/>
        <w:jc w:val="both"/>
      </w:pPr>
      <w:r>
        <w:rPr>
          <w:rFonts w:ascii="David" w:hAnsi="David" w:cs="David"/>
          <w:b w:val="0"/>
          <w:sz w:val="24"/>
          <w:szCs w:val="24"/>
          <w:rtl w:val="1"/>
        </w:rPr>
        <w:t>א. הסבר הטקסט במילותיי. ר' אליעזר הוא בן עשרים ושתיים שלא למד תורה מעולם. אביו הורקנוס עשיר, בעל שדות רבים, ואחיו חורשים את הקרקע הטובה בעוד אליעזר חורש באדמת טרשים קשה. הוא יושב ובוכה, כי הוא רוצה ללמוד תורה. בסופו של דבר הוא עוזב את בית אביו ומגיע אל רבן יוחנן בן זכאי בירושלים, ומתחיל ללמוד מאפס: קריאת שמע, תפילה, ברכת המזון ושתי הלכות בכל יום. הוא מתמסר עד כדי כך שאינו טועם דבר שמונה ימים, עד שריח פיו עולה לפני רבו. ואז, כשהוא קם ודורש, יוצאים מפיו "דברים שלא שמעתם אוזן מעולם", ופניו מאירות כאור החמה. רבן יוחנן בן זכאי קם, נושק אותו על ראשו ואומר: "אשריכם אברהם יצחק ויעקב שיצא זה מחלציכם". וכשמספרים להורקנוס שהדברים נאמרו על בנו, הוא אומר שהיה צריך לומר אחרת: "אשרי אני שיצא זה מחלציי".</w:t>
      </w:r>
    </w:p>
    <w:p>
      <w:pPr>
        <w:bidi w:val="1"/>
        <w:spacing w:line="360" w:lineRule="auto" w:after="160"/>
        <w:jc w:val="both"/>
      </w:pPr>
      <w:r>
        <w:rPr>
          <w:rFonts w:ascii="David" w:hAnsi="David" w:cs="David"/>
          <w:b w:val="0"/>
          <w:sz w:val="24"/>
          <w:szCs w:val="24"/>
          <w:rtl w:val="1"/>
        </w:rPr>
        <w:t>שני פרטים בסיפור נראים לי מפתח. הראשון הוא הבכי. אליעזר אינו מורד ואינו בורח בזעם, הוא יושב ובוכה, והבכי הזה הוא שמניע את כל העלילה, שכן הוא מסמן געגוע עמוק וכן ולא גחמה חולפת. השני הוא אדמת הטרשים. אליעזר חורש דווקא בקרקע הקשה, ומן המקום הכי פחות פורה צומחת דמות שתשנה את עולם התורה. הניגוד בין הטרשים לבין הפנים המאירות כאור החמה הוא לב הסיפור, והוא מוסר בדימוי אחד את כל מה שהמדרש רוצה לומר על כוחו של הרצון ללמוד.</w:t>
      </w:r>
    </w:p>
    <w:p>
      <w:pPr>
        <w:bidi w:val="1"/>
        <w:spacing w:line="360" w:lineRule="auto" w:after="160"/>
        <w:jc w:val="both"/>
      </w:pPr>
      <w:r>
        <w:rPr>
          <w:rFonts w:ascii="David" w:hAnsi="David" w:cs="David"/>
          <w:b w:val="0"/>
          <w:sz w:val="24"/>
          <w:szCs w:val="24"/>
          <w:rtl w:val="1"/>
        </w:rPr>
        <w:t>ב. מגמות ומאפיינים של תקופת חז"ל. המדרש מציב את לימוד התורה כערך עליון שגובר על ייחוס ועל עושר. אליעזר אינו בן כוהנים ולא עילוי מנעוריו, הוא בן איכר שמתחיל מאוחר ובאדמת טרשים, ובכל זאת התורה פתוחה בפניו. זו אחת התנועות המרכזיות של התקופה, פתיחת התורה לכל אדם והפיכת בית המדרש למרכז שמחליף את סדרי הייחוס הישנים. לצד זה בולט אופי הלימוד. ריב"ז מלמד את אליעזר יום יום, מהיסוד ופנים אל פנים, והידע עובר מפה לאוזן ולא מן הכתב, כדרכה של תורה שבעל פה. ויש כאן עוד רובד, התפיסה שהלימוד עצמו מקדש את האדם, עד שפניו מאירות כפני משה. זהו ביטוי מובהק למעבר "מנביא לחכם", שבו מקום הנבואה נתפס עכשיו בידי החכם שדורש בבית המדרש. כשפניו של אליעזר מאירות כפני משה, החכם נעשה כמעט יורשו של הנביא. הזוהר שהיה פעם סימן להתגלות ישירה עובר אל מי שדורש תורה, ותלמיד שהתחיל מאדמת טרשים לובש הילה שהיתה שמורה למשה רבנו. הלימוד אינו רק רכישת ידע, הוא הופך את האדם עצמו למקום שבו התורה מאירה.</w:t>
      </w:r>
    </w:p>
    <w:p>
      <w:pPr>
        <w:bidi w:val="1"/>
        <w:spacing w:line="360" w:lineRule="auto" w:after="160"/>
        <w:jc w:val="both"/>
      </w:pPr>
      <w:r>
        <w:rPr>
          <w:rFonts w:ascii="David" w:hAnsi="David" w:cs="David"/>
          <w:b w:val="0"/>
          <w:sz w:val="24"/>
          <w:szCs w:val="24"/>
          <w:rtl w:val="1"/>
        </w:rPr>
        <w:t>שווה לשים לב גם לפרט הקטן שחותם את הסיפור. כשהורקנוס האב שומע ששבחו של ריב"ז נאמר על בנו, תגובתו אינה גאווה של אב. היא רצון להיות שותף בעצמו בזכות: "אשרי אני שיצא זה מחלציי". גם כאן מבצבצת מגמה של התקופה, שבה מעמדו של אדם נמדד עכשיו בקרבתו לתורה ולחכמים, ולא בגודל שדותיו.</w:t>
      </w:r>
    </w:p>
    <w:p>
      <w:pPr>
        <w:bidi w:val="1"/>
        <w:spacing w:line="360" w:lineRule="auto" w:after="160"/>
        <w:jc w:val="both"/>
      </w:pPr>
      <w:r>
        <w:rPr>
          <w:rFonts w:ascii="David" w:hAnsi="David" w:cs="David"/>
          <w:b w:val="0"/>
          <w:sz w:val="24"/>
          <w:szCs w:val="24"/>
          <w:rtl w:val="1"/>
        </w:rPr>
        <w:t>ג. הרחבה על דמות ר' אליעזר ממקורות נוספים. הדמות הזאת מורכבת יותר משנדמה במבט ראשון. אותו ר' אליעזר, שהגיע אל התורה מבחוץ ומאוחר וכנגד כל הציפיות, הוא גם זה שאומר במשנה על לימוד תורה לנשים: "כל המלמד את בתו תורה כאילו מלמדה תפלות" (משנה, סוטה ג, ד). ההקשר שם חריף במיוחד, שכן דבריו נאמרים כנגד עמדתו של בן עזאי באותה משנה: "חייב אדם ללמד את בתו תורה". מי שנאבק בעצמו על הכניסה אל עולם התורה מציב דווקא גבול חד בפני מי שמבקש להיכנס אליו מכיוון אחר. בויארין, בפרק "תאוות הלימוד: התורה כאישה אחרת", קורא את המחלוקת הזאת כמחלוקת עקרונית ולא כפרט שולי. הוא מראה שהבבלי והירושלמי מפרשים את המשנה בכיוונים שונים לגמרי. לפי הירושלמי, הזכות שמגינה על האישה החשודה כסוטה היא זכות תלמוד תורה, ומכאן שאב המבקש להגן על בתו צריך ללמדה תורה. הבבלי, לעומתו, אינו מפרש כך את בן עזאי, ומצמצם את המשמעות הרדיקלית של דבריו. ההבדל הזה, טוען בויארין, אינו טכני. הוא נוגע לשאלה עד כמה מוכן העולם הרבני לפתוח את שערי בית המדרש בפני נשים, שכן העמדה השוללת לימוד תורה מהן קשורה בבנייתו של בית המדרש כמרחב גברי, שבו תלמוד תורה הוא המעשה שזוכה להערכה הגבוהה ביותר. הצירוף בין שני המקורות מצייר את ר' אליעזר כדמות של אדם שהתורה הצילה והגדירה, ושבה בעצמו לשמור בקנאות על מי נכנס בשעריה. דווקא המורכבות הזאת הופכת אותו לדמות מייצגת של התקופה, שבה נקבעים גם השערים הפתוחים, לבן איכר שמתחיל מאפס, וגם הגבולות הנעולים, בפני מי שנשאר מבחוץ.</w:t>
      </w:r>
    </w:p>
    <w:p>
      <w:r>
        <w:br w:type="page"/>
      </w:r>
    </w:p>
    <w:p>
      <w:pPr>
        <w:bidi w:val="1"/>
        <w:spacing w:line="360" w:lineRule="auto" w:before="200" w:after="80"/>
        <w:jc w:val="right"/>
      </w:pPr>
      <w:r>
        <w:rPr>
          <w:rFonts w:ascii="David" w:hAnsi="David" w:cs="David"/>
          <w:b/>
          <w:sz w:val="26"/>
          <w:szCs w:val="26"/>
          <w:rtl w:val="1"/>
        </w:rPr>
        <w:t>ביבליוגרפיה</w:t>
      </w:r>
    </w:p>
    <w:p>
      <w:pPr>
        <w:bidi w:val="1"/>
        <w:spacing w:line="360" w:lineRule="auto" w:after="120"/>
        <w:ind w:left="432" w:hanging="432"/>
        <w:jc w:val="right"/>
      </w:pPr>
      <w:r>
        <w:rPr>
          <w:rFonts w:ascii="David" w:hAnsi="David" w:cs="David"/>
          <w:b w:val="0"/>
          <w:sz w:val="24"/>
          <w:szCs w:val="24"/>
          <w:rtl w:val="1"/>
        </w:rPr>
        <w:t xml:space="preserve">בויארין, ד' (תשנ"ט). תאוות הלימוד: התורה כאישה אחרת. בתוך </w:t>
      </w:r>
      <w:r>
        <w:rPr>
          <w:rFonts w:ascii="David" w:hAnsi="David" w:cs="David"/>
          <w:i/>
          <w:sz w:val="24"/>
          <w:szCs w:val="24"/>
          <w:rtl w:val="1"/>
        </w:rPr>
        <w:t>הבשר שברוח: שיח המיניות בתלמוד</w:t>
      </w:r>
      <w:r>
        <w:rPr>
          <w:rFonts w:ascii="David" w:hAnsi="David" w:cs="David"/>
          <w:b w:val="0"/>
          <w:sz w:val="24"/>
          <w:szCs w:val="24"/>
          <w:rtl w:val="1"/>
        </w:rPr>
        <w:t xml:space="preserve"> (עמ' 170-183). תל אביב: עם עובד.</w:t>
      </w:r>
    </w:p>
    <w:p>
      <w:pPr>
        <w:bidi w:val="1"/>
        <w:spacing w:line="360" w:lineRule="auto" w:after="120"/>
        <w:ind w:left="432" w:hanging="432"/>
        <w:jc w:val="right"/>
      </w:pPr>
      <w:r>
        <w:rPr>
          <w:rFonts w:ascii="David" w:hAnsi="David" w:cs="David"/>
          <w:b w:val="0"/>
          <w:sz w:val="24"/>
          <w:szCs w:val="24"/>
          <w:rtl w:val="1"/>
        </w:rPr>
        <w:t xml:space="preserve">הלברטל, מ'. מבוא למשנה. בתוך </w:t>
      </w:r>
      <w:r>
        <w:rPr>
          <w:rFonts w:ascii="David" w:hAnsi="David" w:cs="David"/>
          <w:i/>
          <w:sz w:val="24"/>
          <w:szCs w:val="24"/>
          <w:rtl w:val="1"/>
        </w:rPr>
        <w:t>שישה סדרי משנה</w:t>
      </w:r>
      <w:r>
        <w:rPr>
          <w:rFonts w:ascii="David" w:hAnsi="David" w:cs="David"/>
          <w:b w:val="0"/>
          <w:sz w:val="24"/>
          <w:szCs w:val="24"/>
          <w:rtl w:val="1"/>
        </w:rPr>
        <w:t xml:space="preserve"> (סדרת עם הספר). תל אביב: ידיעות אחרונות.</w:t>
      </w:r>
    </w:p>
    <w:p>
      <w:pPr>
        <w:bidi w:val="1"/>
        <w:spacing w:line="360" w:lineRule="auto" w:after="120"/>
        <w:ind w:left="432" w:hanging="432"/>
        <w:jc w:val="right"/>
      </w:pPr>
      <w:r>
        <w:rPr>
          <w:rFonts w:ascii="David" w:hAnsi="David" w:cs="David"/>
          <w:b w:val="0"/>
          <w:sz w:val="24"/>
          <w:szCs w:val="24"/>
          <w:rtl w:val="1"/>
        </w:rPr>
        <w:t xml:space="preserve">לורברבוים, י' (2018). ממקדש לאדם: תמורות במוקד הקדושה בספרות חז"ל. </w:t>
      </w:r>
      <w:r>
        <w:rPr>
          <w:rFonts w:ascii="David" w:hAnsi="David" w:cs="David"/>
          <w:i/>
          <w:sz w:val="24"/>
          <w:szCs w:val="24"/>
          <w:rtl w:val="1"/>
        </w:rPr>
        <w:t>דעת: כתב עת לפילוסופיה יהודית וקבלה</w:t>
      </w:r>
      <w:r>
        <w:rPr>
          <w:rFonts w:ascii="David" w:hAnsi="David" w:cs="David"/>
          <w:b w:val="0"/>
          <w:sz w:val="24"/>
          <w:szCs w:val="24"/>
          <w:rtl w:val="1"/>
        </w:rPr>
        <w:t>, 86, 377-398.</w:t>
      </w:r>
    </w:p>
    <w:p>
      <w:pPr>
        <w:bidi w:val="1"/>
        <w:spacing w:line="360" w:lineRule="auto" w:after="120"/>
        <w:ind w:left="432" w:hanging="432"/>
        <w:jc w:val="right"/>
      </w:pPr>
      <w:r>
        <w:rPr>
          <w:rFonts w:ascii="David" w:hAnsi="David" w:cs="David"/>
          <w:b w:val="0"/>
          <w:sz w:val="24"/>
          <w:szCs w:val="24"/>
          <w:rtl w:val="1"/>
        </w:rPr>
        <w:t xml:space="preserve">מרקס, ד'. רבן יוחנן בן זכאי והקמת יבנה: ניתוח והערכת הסיפור בראי הזמן. </w:t>
      </w:r>
      <w:r>
        <w:rPr>
          <w:rFonts w:ascii="David" w:hAnsi="David" w:cs="David"/>
          <w:i/>
          <w:sz w:val="24"/>
          <w:szCs w:val="24"/>
          <w:rtl w:val="1"/>
        </w:rPr>
      </w:r>
      <w:r>
        <w:rPr>
          <w:rFonts w:ascii="David" w:hAnsi="David" w:cs="David"/>
          <w:b w:val="0"/>
          <w:sz w:val="24"/>
          <w:szCs w:val="24"/>
          <w:rtl w:val="1"/>
        </w:rPr>
        <w:t>[פרטי הפרסום להשלמה מהסילבוס].</w:t>
      </w:r>
    </w:p>
    <w:p>
      <w:pPr>
        <w:bidi w:val="1"/>
        <w:spacing w:line="360" w:lineRule="auto" w:after="120"/>
        <w:ind w:left="432" w:hanging="432"/>
        <w:jc w:val="right"/>
      </w:pPr>
      <w:r>
        <w:rPr>
          <w:rFonts w:ascii="David" w:hAnsi="David" w:cs="David"/>
          <w:b w:val="0"/>
          <w:sz w:val="24"/>
          <w:szCs w:val="24"/>
          <w:rtl w:val="1"/>
        </w:rPr>
      </w:r>
      <w:r>
        <w:rPr>
          <w:rFonts w:ascii="David" w:hAnsi="David" w:cs="David"/>
          <w:i/>
          <w:sz w:val="24"/>
          <w:szCs w:val="24"/>
          <w:rtl w:val="1"/>
        </w:rPr>
        <w:t>אבות דרבי נתן</w:t>
      </w:r>
      <w:r>
        <w:rPr>
          <w:rFonts w:ascii="David" w:hAnsi="David" w:cs="David"/>
          <w:b w:val="0"/>
          <w:sz w:val="24"/>
          <w:szCs w:val="24"/>
          <w:rtl w:val="1"/>
        </w:rPr>
        <w:t>, נוסח א.</w:t>
      </w:r>
    </w:p>
    <w:p>
      <w:pPr>
        <w:bidi w:val="1"/>
        <w:spacing w:line="360" w:lineRule="auto" w:after="120"/>
        <w:ind w:left="432" w:hanging="432"/>
        <w:jc w:val="right"/>
      </w:pPr>
      <w:r>
        <w:rPr>
          <w:rFonts w:ascii="David" w:hAnsi="David" w:cs="David"/>
          <w:b w:val="0"/>
          <w:sz w:val="24"/>
          <w:szCs w:val="24"/>
          <w:rtl w:val="1"/>
        </w:rPr>
      </w:r>
      <w:r>
        <w:rPr>
          <w:rFonts w:ascii="David" w:hAnsi="David" w:cs="David"/>
          <w:i/>
          <w:sz w:val="24"/>
          <w:szCs w:val="24"/>
          <w:rtl w:val="1"/>
        </w:rPr>
        <w:t>משנה</w:t>
      </w:r>
      <w:r>
        <w:rPr>
          <w:rFonts w:ascii="David" w:hAnsi="David" w:cs="David"/>
          <w:b w:val="0"/>
          <w:sz w:val="24"/>
          <w:szCs w:val="24"/>
          <w:rtl w:val="1"/>
        </w:rPr>
        <w:t>, מסכתות סוטה ועדויות.</w:t>
      </w:r>
    </w:p>
    <w:p>
      <w:pPr>
        <w:bidi w:val="1"/>
        <w:spacing w:line="360" w:lineRule="auto" w:after="120"/>
        <w:ind w:left="432" w:hanging="432"/>
        <w:jc w:val="right"/>
      </w:pPr>
      <w:r>
        <w:rPr>
          <w:rFonts w:ascii="David" w:hAnsi="David" w:cs="David"/>
          <w:b w:val="0"/>
          <w:sz w:val="24"/>
          <w:szCs w:val="24"/>
          <w:rtl w:val="1"/>
        </w:rPr>
      </w:r>
      <w:r>
        <w:rPr>
          <w:rFonts w:ascii="David" w:hAnsi="David" w:cs="David"/>
          <w:i/>
          <w:sz w:val="24"/>
          <w:szCs w:val="24"/>
          <w:rtl w:val="1"/>
        </w:rPr>
        <w:t>תלמוד בבלי</w:t>
      </w:r>
      <w:r>
        <w:rPr>
          <w:rFonts w:ascii="David" w:hAnsi="David" w:cs="David"/>
          <w:b w:val="0"/>
          <w:sz w:val="24"/>
          <w:szCs w:val="24"/>
          <w:rtl w:val="1"/>
        </w:rPr>
        <w:t>, מסכתות גיטין (נו ע"א-ע"ב) וסוטה (מו ע"ב).</w:t>
      </w:r>
    </w:p>
    <w:p>
      <w:pPr>
        <w:bidi w:val="1"/>
        <w:spacing w:line="360" w:lineRule="auto" w:after="120"/>
        <w:ind w:left="432" w:hanging="432"/>
        <w:jc w:val="right"/>
      </w:pPr>
      <w:r>
        <w:rPr>
          <w:rFonts w:ascii="David" w:hAnsi="David" w:cs="David"/>
          <w:b w:val="0"/>
          <w:sz w:val="24"/>
          <w:szCs w:val="24"/>
          <w:rtl w:val="1"/>
        </w:rPr>
      </w:r>
      <w:r>
        <w:rPr>
          <w:rFonts w:ascii="David" w:hAnsi="David" w:cs="David"/>
          <w:i/>
          <w:sz w:val="24"/>
          <w:szCs w:val="24"/>
          <w:rtl w:val="1"/>
        </w:rPr>
        <w:t>תנ"ך</w:t>
      </w:r>
      <w:r>
        <w:rPr>
          <w:rFonts w:ascii="David" w:hAnsi="David" w:cs="David"/>
          <w:b w:val="0"/>
          <w:sz w:val="24"/>
          <w:szCs w:val="24"/>
          <w:rtl w:val="1"/>
        </w:rPr>
        <w:t>, ספר דברים, פרק כא.</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