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sz w:val="28"/>
          <w:szCs w:val="28"/>
          <w:rtl/>
        </w:rPr>
        <w:t xml:space="preserve">גורדון - המכללה האקדמית לחינוך, חיפה</w:t>
      </w:r>
    </w:p>
    <w:p>
      <w:pPr>
        <w:bidi/>
        <w:spacing w:after="0" w:before="0" w:line="360" w:lineRule="auto"/>
        <w:jc w:val="center"/>
      </w:pPr>
      <w:r>
        <w:rPr>
          <w:rFonts w:ascii="Times New Roman" w:cs="David" w:hAnsi="Times New Roman"/>
          <w:b w:val="false"/>
          <w:i w:val="false"/>
          <w:sz w:val="26"/>
          <w:szCs w:val="26"/>
          <w:rtl/>
        </w:rPr>
        <w:t xml:space="preserve">לימודי מוסמך בחינוך (M.Ed.)</w:t>
      </w:r>
    </w:p>
    <w:p>
      <w:pPr>
        <w:bidi/>
        <w:spacing w:after="0" w:before="0" w:line="360" w:lineRule="auto"/>
        <w:jc w:val="center"/>
      </w:pPr>
      <w:r>
        <w:rPr>
          <w:rFonts w:ascii="Times New Roman" w:cs="David" w:hAnsi="Times New Roman"/>
          <w:b w:val="false"/>
          <w:i w:val="false"/>
          <w:sz w:val="26"/>
          <w:szCs w:val="26"/>
          <w:rt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sz w:val="32"/>
          <w:szCs w:val="32"/>
          <w:rt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sz w:val="28"/>
          <w:szCs w:val="28"/>
          <w:rt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מגיש: משה חן, ת"ז 209020932</w:t>
      </w:r>
    </w:p>
    <w:p>
      <w:pPr>
        <w:bidi/>
        <w:spacing w:after="0" w:before="0" w:line="360" w:lineRule="auto"/>
        <w:jc w:val="center"/>
      </w:pPr>
      <w:r>
        <w:rPr>
          <w:rFonts w:ascii="Times New Roman" w:cs="David" w:hAnsi="Times New Roman"/>
          <w:b w:val="false"/>
          <w:i w:val="false"/>
          <w:sz w:val="26"/>
          <w:szCs w:val="26"/>
          <w:rt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אלול תשפ"ו, אוגוסט 2026</w:t>
      </w:r>
    </w:p>
    <w:p>
      <w:r>
        <w:br w:type="page"/>
      </w:r>
    </w:p>
    <w:p>
      <w:pPr>
        <w:bidi/>
        <w:spacing w:after="240" w:before="0" w:line="360" w:lineRule="auto"/>
        <w:jc w:val="center"/>
      </w:pPr>
      <w:r>
        <w:rPr>
          <w:rFonts w:ascii="Times New Roman" w:cs="David" w:hAnsi="Times New Roman"/>
          <w:b/>
          <w:bCs/>
          <w:i w:val="false"/>
          <w:sz w:val="32"/>
          <w:szCs w:val="32"/>
          <w:rtl/>
        </w:rPr>
        <w:t xml:space="preserve">סקירת ספרות</w:t>
      </w:r>
    </w:p>
    <w:p>
      <w:pPr>
        <w:bidi/>
        <w:spacing w:after="120" w:before="240" w:line="360" w:lineRule="auto"/>
        <w:jc w:val="right"/>
      </w:pPr>
      <w:r>
        <w:rPr>
          <w:rFonts w:ascii="Times New Roman" w:cs="David" w:hAnsi="Times New Roman"/>
          <w:b/>
          <w:bCs/>
          <w:i w:val="false"/>
          <w:sz w:val="28"/>
          <w:szCs w:val="28"/>
          <w:rtl/>
        </w:rPr>
        <w:t xml:space="preserve">משילוב להכלה: תלמידים עם צרכים ייחודיים בחינוך הרגיל</w:t>
      </w:r>
    </w:p>
    <w:p>
      <w:pPr>
        <w:bidi/>
        <w:spacing w:after="0" w:line="360" w:lineRule="auto"/>
        <w:jc w:val="both"/>
      </w:pPr>
      <w:r>
        <w:rPr>
          <w:rFonts w:ascii="Times New Roman" w:cs="David" w:hAnsi="Times New Roman"/>
          <w:b w:val="false"/>
          <w:i w:val="false"/>
          <w:sz w:val="24"/>
          <w:szCs w:val="24"/>
          <w:rt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עקרון ההכלה מרחיב את רעיון השילוב: לא עוד התאמת התלמיד למסגרת, אלא תכנון הסביבה החינוכית מראש באופן המאפשר השתתפות של מגוון לומדים, ברוח העיצוב האוניברסלי ללמידה (הוצלר, 2019). העניין המחקרי בתחום נמשך גם כיום ומתמקד, בין היתר, בעמדותיהם של אנשי הוראה כלפי הפוטנציאל של תלמידים עם צרכים ייחודיים לפתח זהות עצמית, תקשורת בינאישית משמעותית וחשיבה אוטונומית (הס, 2025).</w:t>
      </w:r>
    </w:p>
    <w:p>
      <w:pPr>
        <w:bidi/>
        <w:spacing w:after="0" w:line="360" w:lineRule="auto"/>
        <w:ind w:firstLine="709"/>
        <w:jc w:val="both"/>
      </w:pPr>
      <w:r>
        <w:rPr>
          <w:rFonts w:ascii="Times New Roman" w:cs="David" w:hAnsi="Times New Roman"/>
          <w:b w:val="false"/>
          <w:i w:val="false"/>
          <w:sz w:val="24"/>
          <w:szCs w:val="24"/>
          <w:rtl/>
        </w:rPr>
        <w:t xml:space="preserve">עם זאת, הספרות מלמדת כי עצם ההשמה בכיתה רגילה אינה מבטיחה שילוב מוצלח. גביש ושמעוני (2006), שראיינו 25 מורות המשלבות תלמידים עם צרכים ייחודיים בכיתותיהן, מצאו היעדר ידע מבוסס ושיטתי על השילוב והיעדר הכנה מערכתית מתוכננת, עד כדי תפיסת השדה כמערכת כאוטית המלווה בתחושות של חוסר הוגנות ושחיקה.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sz w:val="28"/>
          <w:szCs w:val="28"/>
          <w:rtl/>
        </w:rPr>
        <w:t xml:space="preserve">תלמידים על הרצף האוטיסטי בחינוך הרגיל: אתגרים חברתיים-רגשיים</w:t>
      </w:r>
    </w:p>
    <w:p>
      <w:pPr>
        <w:bidi/>
        <w:spacing w:after="0" w:line="360" w:lineRule="auto"/>
        <w:jc w:val="both"/>
      </w:pPr>
      <w:r>
        <w:rPr>
          <w:rFonts w:ascii="Times New Roman" w:cs="David" w:hAnsi="Times New Roman"/>
          <w:b w:val="false"/>
          <w:i w:val="false"/>
          <w:sz w:val="24"/>
          <w:szCs w:val="24"/>
          <w:rtl/>
        </w:rPr>
        <w:t xml:space="preserve">בתוך האוכלוסייה הרחבה של תלמידים עם צרכים ייחודיים, התלמידים על הרצף האוטיסטי (ASD) מציבים בפני המסגרת המשלבת אתגר ייחודי. תלמידים אלה מתאפיינים בקשיים בתקשורת חברתית, ובכלל זה בהבנת שפה פיגורטיבית ובביצוע ההיקשים הנדרשים לפירוש סיטואציות חברתיות (גרומן וצוריאל, 2022; Dean et al., 2020). הקשיים מלווים לעיתים קרובות ברמות חרדה גבוהות, הבולטות במיוחד בסביבת בית הספר הרגיל (Hillman et al., 2020), ופגיעה בתפקודים הניהוליים משפיעה על יכולת הוויסות העצמי ועל ההתמדה במשימות (Pasqualotto et al., 2021). שילובם המוצלח מחייב לפיכך מענה שאינו מסתכם בהנגשה לימודית, אלא נוגע בליבת התחום החברתי-רגשי.</w:t>
      </w:r>
    </w:p>
    <w:p>
      <w:pPr>
        <w:bidi/>
        <w:spacing w:after="0" w:line="360" w:lineRule="auto"/>
        <w:ind w:firstLine="709"/>
        <w:jc w:val="both"/>
      </w:pPr>
      <w:r>
        <w:rPr>
          <w:rFonts w:ascii="Times New Roman" w:cs="David" w:hAnsi="Times New Roman"/>
          <w:b w:val="false"/>
          <w:i w:val="false"/>
          <w:sz w:val="24"/>
          <w:szCs w:val="24"/>
          <w:rtl/>
        </w:rPr>
        <w:t xml:space="preserve">מחקרים ישראליים שליוו את שילובם של ילדים עם אוטיזם בחינוך הרגיל מלמדים כי הצלחת השילוב אינה חד-ערכית: היא נמדדת ביחס למטרות שהוצבו בתחילת התהליך ותלויה בהתקיימותם של תנאים תומכים (הלל לביאן ובכר כץ, 2010). ויטני ורייטר (2006) מצאו שחיקה בקרב תלמידים עם התפתחות תקינה המשלבים בכיתתם תלמידים עם אוטיזם, וכן קשר בין השחיקה לבין עמדותיהם ואיכות התיווך שלהם. תוכנית התערבות שהופעלה בקרב התלמידים המשלבים הפחיתה את השחיקה ושיפרה את העמדות ואת איכות התיווך. הצלחת השילוב תלויה אם כן גם בסביבה החברתית המקיפה את התלמיד המשולב, ולא רק בו עצמו.</w:t>
      </w:r>
    </w:p>
    <w:p>
      <w:pPr>
        <w:bidi/>
        <w:spacing w:after="0" w:line="360" w:lineRule="auto"/>
        <w:ind w:firstLine="709"/>
        <w:jc w:val="both"/>
      </w:pPr>
      <w:r>
        <w:rPr>
          <w:rFonts w:ascii="Times New Roman" w:cs="David" w:hAnsi="Times New Roman"/>
          <w:b w:val="false"/>
          <w:i w:val="false"/>
          <w:sz w:val="24"/>
          <w:szCs w:val="24"/>
          <w:rtl/>
        </w:rPr>
        <w:t xml:space="preserve">גם כאשר העמדות כלפי השילוב חיוביות, אין בכך ערובה לקשר חברתי ממשי. וירוב ואחרים (2018) מצאו פער מובהק בין עמדותיהם החיוביות של תלמידי תיכון כלפי שילוב תלמידים עם אוטיזם בתפקוד גבוה לבין מיעוט היוזמות החברתיות שלהם כלפי התלמידים המשולבים במצבים בלתי פורמליים, כגון הפסקה וטיול. תמונה דומה עולה מנקודת מבטם של האוטיסטים עצמם: במחקר איכותני משתף, שנכתב בהובלת חוקרת אוטיסטית, דיווחו בוגרים אוטיסטים של מערכת החינוך והורים לתלמידים אוטיסטים על חוסר ידע והבנה מצד הצוותים ועל דרישה מהתלמיד להתאים את עצמו למערכת, דרישה שהייתה כשלעצמה מקור מרכזי לסבל, לצד נקודות אור של סיוע והנגשה (אלון מן וברק, 2025).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sz w:val="28"/>
          <w:szCs w:val="28"/>
          <w:rtl/>
        </w:rPr>
        <w:t xml:space="preserve">למידה חברתית-רגשית והתערבויות מובנות לתלמידים על הרצף</w:t>
      </w:r>
    </w:p>
    <w:p>
      <w:pPr>
        <w:bidi/>
        <w:spacing w:after="0" w:line="360" w:lineRule="auto"/>
        <w:jc w:val="both"/>
      </w:pPr>
      <w:r>
        <w:rPr>
          <w:rFonts w:ascii="Times New Roman" w:cs="David" w:hAnsi="Times New Roman"/>
          <w:b w:val="false"/>
          <w:i w:val="false"/>
          <w:sz w:val="24"/>
          <w:szCs w:val="24"/>
          <w:rt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בעבור תלמידים על הרצף האוטיסטי מוצע לשלב מטרות חברתיות-רגשיות באופן מפורש בתוכנית האישית, בשל מרכזיותן לתפקוד היומיומי ולרווחה האישית (Dale et al., 2022). חקר מקרה ישראלי שתיעד התערבות חברתית-רגשית פרטנית אצל תלמידה עם ASD הראה שיפור בתפקוד, שנשמר גם במעקב שנערך ארבעה חודשים לאחר סיום ההתערבות (מזרחי ויריב, 2022).</w:t>
      </w:r>
    </w:p>
    <w:p>
      <w:pPr>
        <w:bidi/>
        <w:spacing w:after="0" w:line="360" w:lineRule="auto"/>
        <w:ind w:firstLine="709"/>
        <w:jc w:val="both"/>
      </w:pPr>
      <w:r>
        <w:rPr>
          <w:rFonts w:ascii="Times New Roman" w:cs="David" w:hAnsi="Times New Roman"/>
          <w:b w:val="false"/>
          <w:i w:val="false"/>
          <w:sz w:val="24"/>
          <w:szCs w:val="24"/>
          <w:rtl/>
        </w:rPr>
        <w:t xml:space="preserve">המחקר על התערבויות לתלמידים על הרצף מצביע על עיקרון עבודה חוזר: פירוק של מיומנויות מופשטות לשלבים מפורשים ומובנים. תוכנית התערבות שכללה הוראה שיטתית של היקשים מילוליים משמעותיים נמצאה מקדמת הבנה בקרב תלמידים עם אוטיזם בתפקוד גבוה (הר-צבי ואחרים, 2023), והתערבות פרטנית שנעזרה באפליקציית למידה קידמה התמדה במשימות של הבנת הנקרא אצל תלמיד עם ASD (שרייבר וסגל, 2018). המשותף להתערבויות אלה הוא הנגשה חזותית ומובנית של תוכן מובלע, המפחיתה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sz w:val="28"/>
          <w:szCs w:val="28"/>
          <w:rtl/>
        </w:rPr>
        <w:t xml:space="preserve">תוכנית "מעגלים" והערכת יישומה</w:t>
      </w:r>
    </w:p>
    <w:p>
      <w:pPr>
        <w:bidi/>
        <w:spacing w:after="0" w:line="360" w:lineRule="auto"/>
        <w:jc w:val="both"/>
      </w:pPr>
      <w:r>
        <w:rPr>
          <w:rFonts w:ascii="Times New Roman" w:cs="David" w:hAnsi="Times New Roman"/>
          <w:b w:val="false"/>
          <w:i w:val="false"/>
          <w:sz w:val="24"/>
          <w:szCs w:val="24"/>
          <w:rtl/>
        </w:rPr>
        <w:t xml:space="preserve">תוכנית "מעגלים" פותחה במקורה עבור אנשים עם מוגבלות קוגניטיבית התפתחותית, ומטרתה להכינם לחיים עצמאיים, בטוחים ובעלי משמעות בקהילה באמצעות הקניית מיומנויות חברתיות (משרד החינוך, ל.ת.). התוכנית ממיינת את הסביבה החברתית לחמישה מעגלים על פי מידת הקרבה, מן המעגל הפרטי שבמרכזו נמצא התלמיד עצמו ועד מעגל הזרים, ובכל מעגל מוגדרים במפורש שלושה תחומי תקשורת: מגע, דיבור ומידת אמון. באמצעות ההמחשה החזותית של המעגלים מבקשת התוכנית לפתח מודעות והערכה עצמית, שמירה על מרחב אישי, הבחנה בדרגות קרבה חברתית, התנהגות חברתית מקובלת ומיומנויות תקשורת אישית ובינאישית (משרד החינוך, ל.ת.).</w:t>
      </w:r>
    </w:p>
    <w:p>
      <w:pPr>
        <w:bidi/>
        <w:spacing w:after="0" w:line="360" w:lineRule="auto"/>
        <w:ind w:firstLine="709"/>
        <w:jc w:val="both"/>
      </w:pPr>
      <w:r>
        <w:rPr>
          <w:rFonts w:ascii="Times New Roman" w:cs="David" w:hAnsi="Times New Roman"/>
          <w:b w:val="false"/>
          <w:i w:val="false"/>
          <w:sz w:val="24"/>
          <w:szCs w:val="24"/>
          <w:rtl/>
        </w:rPr>
        <w:t xml:space="preserve">סקירת הספרות מציירת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w:t>
      </w:r>
    </w:p>
    <w:p>
      <w:r>
        <w:br w:type="page"/>
      </w:r>
    </w:p>
    <w:p>
      <w:pPr>
        <w:bidi/>
        <w:spacing w:after="240" w:before="0" w:line="360" w:lineRule="auto"/>
        <w:jc w:val="center"/>
      </w:pPr>
      <w:r>
        <w:rPr>
          <w:rFonts w:ascii="Times New Roman" w:cs="David" w:hAnsi="Times New Roman"/>
          <w:b/>
          <w:bCs/>
          <w:i w:val="false"/>
          <w:sz w:val="32"/>
          <w:szCs w:val="32"/>
          <w:rtl/>
        </w:rPr>
        <w:t xml:space="preserve">רשימת מקורות</w:t>
      </w:r>
    </w:p>
    <w:p>
      <w:pPr>
        <w:bidi/>
        <w:spacing w:after="120" w:line="360" w:lineRule="auto"/>
        <w:ind w:left="709" w:hanging="709"/>
      </w:pPr>
      <w:r>
        <w:rPr>
          <w:rFonts w:ascii="Times New Roman" w:cs="David" w:hAnsi="Times New Roman"/>
          <w:b w:val="false"/>
          <w:i w:val="false"/>
          <w:sz w:val="24"/>
          <w:szCs w:val="24"/>
          <w:rtl/>
        </w:rPr>
        <w:t xml:space="preserve">אלון מן, ט. וברק, ד. (2025). כיצד אוטיסטים והורים לאוטיסטים חווים את מערכת החינוך. </w:t>
      </w:r>
      <w:r>
        <w:rPr>
          <w:rFonts w:ascii="Times New Roman" w:cs="David" w:hAnsi="Times New Roman"/>
          <w:b w:val="false"/>
          <w:i/>
          <w:iCs/>
          <w:sz w:val="24"/>
          <w:szCs w:val="24"/>
          <w:rtl/>
        </w:rPr>
        <w:t xml:space="preserve">במעגלי חינוך: מחקר, עיון ויצירה</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14</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https://www.dyellin.ac.il/sites/default/files/journals/journaleducation/edtion14/autistics_parents_education_system.pdf</w:t>
      </w:r>
    </w:p>
    <w:p>
      <w:pPr>
        <w:bidi/>
        <w:spacing w:after="120" w:line="360" w:lineRule="auto"/>
        <w:ind w:left="709" w:hanging="709"/>
      </w:pPr>
      <w:r>
        <w:rPr>
          <w:rFonts w:ascii="Times New Roman" w:cs="David" w:hAnsi="Times New Roman"/>
          <w:b w:val="false"/>
          <w:i w:val="false"/>
          <w:sz w:val="24"/>
          <w:szCs w:val="24"/>
          <w:rt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35-54.</w:t>
      </w:r>
    </w:p>
    <w:p>
      <w:pPr>
        <w:bidi/>
        <w:spacing w:after="120" w:line="360" w:lineRule="auto"/>
        <w:ind w:left="709" w:hanging="709"/>
      </w:pPr>
      <w:r>
        <w:rPr>
          <w:rFonts w:ascii="Times New Roman" w:cs="David" w:hAnsi="Times New Roman"/>
          <w:b w:val="false"/>
          <w:i w:val="false"/>
          <w:sz w:val="24"/>
          <w:szCs w:val="24"/>
          <w:rt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145-179.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הוצלר, י. (2019). הכלה, עיצוב אוניברסלי והתאמה בחינוך הגופני. </w:t>
      </w:r>
      <w:r>
        <w:rPr>
          <w:rFonts w:ascii="Times New Roman" w:cs="David" w:hAnsi="Times New Roman"/>
          <w:b w:val="false"/>
          <w:i/>
          <w:iCs/>
          <w:sz w:val="24"/>
          <w:szCs w:val="24"/>
          <w:rtl/>
        </w:rPr>
        <w:t xml:space="preserve">בתנועה: כתב עת למדעי החינוך הגופני והספורט</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יב</w:t>
      </w:r>
      <w:r>
        <w:rPr>
          <w:rFonts w:ascii="Times New Roman" w:cs="David" w:hAnsi="Times New Roman"/>
          <w:b w:val="false"/>
          <w:i w:val="false"/>
          <w:sz w:val="24"/>
          <w:szCs w:val="24"/>
          <w:rtl/>
        </w:rPr>
        <w:t xml:space="preserve">(1), 70-94.</w:t>
      </w:r>
    </w:p>
    <w:p>
      <w:pPr>
        <w:bidi/>
        <w:spacing w:after="120" w:line="360" w:lineRule="auto"/>
        <w:ind w:left="709" w:hanging="709"/>
      </w:pPr>
      <w:r>
        <w:rPr>
          <w:rFonts w:ascii="Times New Roman" w:cs="David" w:hAnsi="Times New Roman"/>
          <w:b w:val="false"/>
          <w:i w:val="false"/>
          <w:sz w:val="24"/>
          <w:szCs w:val="24"/>
          <w:rtl/>
        </w:rPr>
        <w:t xml:space="preserve">הלל לביאן, ר. ובכר כץ, ע. (2010). ילדי הבועה בחיי הבבואה: שילוב ילדים עם אוטיזם בחינוך הרגיל.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25</w:t>
      </w:r>
      <w:r>
        <w:rPr>
          <w:rFonts w:ascii="Times New Roman" w:cs="David" w:hAnsi="Times New Roman"/>
          <w:b w:val="false"/>
          <w:i w:val="false"/>
          <w:sz w:val="24"/>
          <w:szCs w:val="24"/>
          <w:rtl/>
        </w:rPr>
        <w:t xml:space="preserve">(1), 43-58.</w:t>
      </w:r>
    </w:p>
    <w:p>
      <w:pPr>
        <w:bidi/>
        <w:spacing w:after="120" w:line="360" w:lineRule="auto"/>
        <w:ind w:left="709" w:hanging="709"/>
      </w:pPr>
      <w:r>
        <w:rPr>
          <w:rFonts w:ascii="Times New Roman" w:cs="David" w:hAnsi="Times New Roman"/>
          <w:b w:val="false"/>
          <w:i w:val="false"/>
          <w:sz w:val="24"/>
          <w:szCs w:val="24"/>
          <w:rt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6</w:t>
      </w:r>
      <w:r>
        <w:rPr>
          <w:rFonts w:ascii="Times New Roman" w:cs="David" w:hAnsi="Times New Roman"/>
          <w:b w:val="false"/>
          <w:i w:val="false"/>
          <w:sz w:val="24"/>
          <w:szCs w:val="24"/>
          <w:rtl/>
        </w:rPr>
        <w:t xml:space="preserve">.</w:t>
      </w:r>
    </w:p>
    <w:p>
      <w:pPr>
        <w:bidi/>
        <w:spacing w:after="120" w:line="360" w:lineRule="auto"/>
        <w:ind w:left="709" w:hanging="709"/>
      </w:pPr>
      <w:r>
        <w:rPr>
          <w:rFonts w:ascii="Times New Roman" w:cs="David" w:hAnsi="Times New Roman"/>
          <w:b w:val="false"/>
          <w:i w:val="false"/>
          <w:sz w:val="24"/>
          <w:szCs w:val="24"/>
          <w:rt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sz w:val="24"/>
          <w:szCs w:val="24"/>
        </w:rPr>
        <w:t xml:space="preserve">https://www.talpiot.ac.il/wp-content/uploads/2023/02/%D7%94%D7%A8-%D7%A6%D7%91%D7%99-%D7%A9%D7%99%D7%A8%D7%9C%D7%99.pdf</w:t>
      </w:r>
    </w:p>
    <w:p>
      <w:pPr>
        <w:bidi/>
        <w:spacing w:after="120" w:line="360" w:lineRule="auto"/>
        <w:ind w:left="709" w:hanging="709"/>
      </w:pPr>
      <w:r>
        <w:rPr>
          <w:rFonts w:ascii="Times New Roman" w:cs="David" w:hAnsi="Times New Roman"/>
          <w:b w:val="false"/>
          <w:i w:val="false"/>
          <w:sz w:val="24"/>
          <w:szCs w:val="24"/>
          <w:rt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55-68.</w:t>
      </w:r>
    </w:p>
    <w:p>
      <w:pPr>
        <w:bidi/>
        <w:spacing w:after="120" w:line="360" w:lineRule="auto"/>
        <w:ind w:left="709" w:hanging="709"/>
      </w:pPr>
      <w:r>
        <w:rPr>
          <w:rFonts w:ascii="Times New Roman" w:cs="David" w:hAnsi="Times New Roman"/>
          <w:b w:val="false"/>
          <w:i w:val="false"/>
          <w:sz w:val="24"/>
          <w:szCs w:val="24"/>
          <w:rt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29</w:t>
      </w:r>
      <w:r>
        <w:rPr>
          <w:rFonts w:ascii="Times New Roman" w:cs="David" w:hAnsi="Times New Roman"/>
          <w:b w:val="false"/>
          <w:i w:val="false"/>
          <w:sz w:val="24"/>
          <w:szCs w:val="24"/>
          <w:rtl/>
        </w:rPr>
        <w:t xml:space="preserve">, 126-146.</w:t>
      </w:r>
    </w:p>
    <w:p>
      <w:pPr>
        <w:bidi/>
        <w:spacing w:after="120" w:line="360" w:lineRule="auto"/>
        <w:ind w:left="709" w:hanging="709"/>
      </w:pPr>
      <w:r>
        <w:rPr>
          <w:rFonts w:ascii="Times New Roman" w:cs="David" w:hAnsi="Times New Roman"/>
          <w:b w:val="false"/>
          <w:i w:val="false"/>
          <w:sz w:val="24"/>
          <w:szCs w:val="24"/>
          <w:rtl/>
        </w:rPr>
        <w:t xml:space="preserve">לייזר, י. (2001). החינוך המיוחד נושק לעתיד: נושאים לעיון ולדיון ביקורתי.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16</w:t>
      </w:r>
      <w:r>
        <w:rPr>
          <w:rFonts w:ascii="Times New Roman" w:cs="David" w:hAnsi="Times New Roman"/>
          <w:b w:val="false"/>
          <w:i w:val="false"/>
          <w:sz w:val="24"/>
          <w:szCs w:val="24"/>
          <w:rtl/>
        </w:rPr>
        <w:t xml:space="preserve">(1), 15-24.</w:t>
      </w:r>
    </w:p>
    <w:p>
      <w:pPr>
        <w:bidi/>
        <w:spacing w:after="120" w:line="360" w:lineRule="auto"/>
        <w:ind w:left="709" w:hanging="709"/>
      </w:pPr>
      <w:r>
        <w:rPr>
          <w:rFonts w:ascii="Times New Roman" w:cs="David" w:hAnsi="Times New Roman"/>
          <w:b w:val="false"/>
          <w:i w:val="false"/>
          <w:sz w:val="24"/>
          <w:szCs w:val="24"/>
          <w:rtl/>
        </w:rPr>
        <w:t xml:space="preserve">מזרחי, ע. ויריב, א. (2022). שיפור מיומנויות חברתיות-רגשיות של תלמידה עם ASD: חקר מקרה.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משרד החינוך, היחידה למיניות ולמניעת פגיעה בילדים ובבני נוער. (ל.ת.). </w:t>
      </w:r>
      <w:r>
        <w:rPr>
          <w:rFonts w:ascii="Times New Roman" w:cs="David" w:hAnsi="Times New Roman"/>
          <w:b w:val="false"/>
          <w:i/>
          <w:iCs/>
          <w:sz w:val="24"/>
          <w:szCs w:val="24"/>
          <w:rtl/>
        </w:rPr>
        <w:t xml:space="preserve">תוכנית מעגלים</w:t>
      </w:r>
      <w:r>
        <w:rPr>
          <w:rFonts w:ascii="Times New Roman" w:cs="David" w:hAnsi="Times New Roman"/>
          <w:b w:val="false"/>
          <w:i w:val="false"/>
          <w:sz w:val="24"/>
          <w:szCs w:val="24"/>
          <w:rtl/>
        </w:rPr>
        <w:t xml:space="preserve"> [חוברת מידע].</w:t>
      </w:r>
    </w:p>
    <w:p>
      <w:pPr>
        <w:bidi/>
        <w:spacing w:after="120" w:line="360" w:lineRule="auto"/>
        <w:ind w:left="709" w:hanging="709"/>
      </w:pPr>
      <w:r>
        <w:rPr>
          <w:rFonts w:ascii="Times New Roman" w:cs="David" w:hAnsi="Times New Roman"/>
          <w:b w:val="false"/>
          <w:i w:val="false"/>
          <w:sz w:val="24"/>
          <w:szCs w:val="24"/>
          <w:rt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sz w:val="24"/>
          <w:szCs w:val="24"/>
          <w:rtl/>
        </w:rPr>
        <w:t xml:space="preserve">כתב עת ישראלי לריפוי בעיסוק</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12</w:t>
      </w:r>
      <w:r>
        <w:rPr>
          <w:rFonts w:ascii="Times New Roman" w:cs="David" w:hAnsi="Times New Roman"/>
          <w:b w:val="false"/>
          <w:i w:val="false"/>
          <w:sz w:val="24"/>
          <w:szCs w:val="24"/>
          <w:rtl/>
        </w:rPr>
        <w:t xml:space="preserve">(4), H193-H206.</w:t>
      </w:r>
    </w:p>
    <w:p>
      <w:pPr>
        <w:bidi/>
        <w:spacing w:after="120" w:line="360" w:lineRule="auto"/>
        <w:ind w:left="709" w:hanging="709"/>
      </w:pPr>
      <w:r>
        <w:rPr>
          <w:rFonts w:ascii="Times New Roman" w:cs="David" w:hAnsi="Times New Roman"/>
          <w:b w:val="false"/>
          <w:i w:val="false"/>
          <w:sz w:val="24"/>
          <w:szCs w:val="24"/>
          <w:rt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sz w:val="24"/>
          <w:szCs w:val="24"/>
          <w:rtl/>
        </w:rPr>
        <w:t xml:space="preserve"> (עמ' ע242-ע246). האוניברסיטה הפתוחה.</w:t>
      </w:r>
    </w:p>
    <w:p>
      <w:pPr>
        <w:spacing w:after="120" w:line="360" w:lineRule="auto"/>
        <w:ind w:left="709" w:hanging="709"/>
        <w:jc w:val="left"/>
      </w:pPr>
      <w:r>
        <w:rPr>
          <w:rFonts w:ascii="Times New Roman" w:cs="David" w:hAnsi="Times New Roman"/>
          <w:i w:val="false"/>
          <w:sz w:val="24"/>
          <w:szCs w:val="24"/>
        </w:rPr>
        <w:t xml:space="preserve">Dale, B. A., Rispoli, K., &amp; Ruble, L. A. (2022). Social emotional learning in young children with autism spectrum disorder. </w:t>
      </w:r>
      <w:r>
        <w:rPr>
          <w:rFonts w:ascii="Times New Roman" w:cs="David" w:hAnsi="Times New Roman"/>
          <w:i/>
          <w:iCs/>
          <w:sz w:val="24"/>
          <w:szCs w:val="24"/>
        </w:rPr>
        <w:t xml:space="preserve">Perspectives on Early Childhood Psychology and Education, 6</w:t>
      </w:r>
      <w:r>
        <w:rPr>
          <w:rFonts w:ascii="Times New Roman" w:cs="David" w:hAnsi="Times New Roman"/>
          <w:i w:val="false"/>
          <w:sz w:val="24"/>
          <w:szCs w:val="24"/>
        </w:rPr>
        <w:t xml:space="preserve">(2), Article 12. https://doi.org/10.58948/2834-8257.1021</w:t>
      </w:r>
    </w:p>
    <w:p>
      <w:pPr>
        <w:spacing w:after="120" w:line="360" w:lineRule="auto"/>
        <w:ind w:left="709" w:hanging="709"/>
        <w:jc w:val="left"/>
      </w:pPr>
      <w:r>
        <w:rPr>
          <w:rFonts w:ascii="Times New Roman" w:cs="David" w:hAnsi="Times New Roman"/>
          <w:i w:val="false"/>
          <w:sz w:val="24"/>
          <w:szCs w:val="24"/>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sz w:val="24"/>
          <w:szCs w:val="24"/>
        </w:rPr>
        <w:t xml:space="preserve">School Psychology Review, 49</w:t>
      </w:r>
      <w:r>
        <w:rPr>
          <w:rFonts w:ascii="Times New Roman" w:cs="David" w:hAnsi="Times New Roman"/>
          <w:i w:val="false"/>
          <w:sz w:val="24"/>
          <w:szCs w:val="24"/>
        </w:rPr>
        <w:t xml:space="preserve">(1), 60-73. https://doi.org/10.1080/2372966X.2020.1716636</w:t>
      </w:r>
    </w:p>
    <w:p>
      <w:pPr>
        <w:spacing w:after="120" w:line="360" w:lineRule="auto"/>
        <w:ind w:left="709" w:hanging="709"/>
        <w:jc w:val="left"/>
      </w:pPr>
      <w:r>
        <w:rPr>
          <w:rFonts w:ascii="Times New Roman" w:cs="David" w:hAnsi="Times New Roman"/>
          <w:i w:val="false"/>
          <w:sz w:val="24"/>
          <w:szCs w:val="24"/>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sz w:val="24"/>
          <w:szCs w:val="24"/>
        </w:rPr>
        <w:t xml:space="preserve">Campbell Systematic Reviews, 16</w:t>
      </w:r>
      <w:r>
        <w:rPr>
          <w:rFonts w:ascii="Times New Roman" w:cs="David" w:hAnsi="Times New Roman"/>
          <w:i w:val="false"/>
          <w:sz w:val="24"/>
          <w:szCs w:val="24"/>
        </w:rPr>
        <w:t xml:space="preserve">(2), e1086. https://doi.org/10.1002/cl2.1086</w:t>
      </w:r>
    </w:p>
    <w:p>
      <w:pPr>
        <w:spacing w:after="120" w:line="360" w:lineRule="auto"/>
        <w:ind w:left="709" w:hanging="709"/>
        <w:jc w:val="left"/>
      </w:pPr>
      <w:r>
        <w:rPr>
          <w:rFonts w:ascii="Times New Roman" w:cs="David" w:hAnsi="Times New Roman"/>
          <w:i w:val="false"/>
          <w:sz w:val="24"/>
          <w:szCs w:val="24"/>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sz w:val="24"/>
          <w:szCs w:val="24"/>
        </w:rPr>
        <w:t xml:space="preserve">Brain Sciences, 11</w:t>
      </w:r>
      <w:r>
        <w:rPr>
          <w:rFonts w:ascii="Times New Roman" w:cs="David" w:hAnsi="Times New Roman"/>
          <w:i w:val="false"/>
          <w:sz w:val="24"/>
          <w:szCs w:val="24"/>
        </w:rPr>
        <w:t xml:space="preserve">(10), 1280. https://doi.org/10.3390/brainsci11101280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2026-08-20T18:01:58.196Z</dcterms:created>
  <dcterms:modified xsi:type="dcterms:W3CDTF">2026-08-20T18:01:58.197Z</dcterms:modified>
</cp:coreProperties>
</file>

<file path=docProps/custom.xml><?xml version="1.0" encoding="utf-8"?>
<Properties xmlns="http://schemas.openxmlformats.org/officeDocument/2006/custom-properties" xmlns:vt="http://schemas.openxmlformats.org/officeDocument/2006/docPropsVTypes"/>
</file>