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השידור החי של משפט הדיבה בין ג'וני דפ לאמבר הרד והפיכתו לאירוע ויראלי ברשתות החברתיות, ובמרכזו הקהל שהתגבש סביב השידור והכריע בעצמו בשאלת האשמה. שאלת המחקר: כיצד השידור החי של משפט ג'וני דפ והפיכתו לוויראלי יצרו "חבר מושבעים אלטרנטיבי" שערער על מוסד המושבעים המסורתי?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(van Es, 2017) - מאמר אקדמי מכתב עת. אותר במנוע החיפוש Google Scholar באמצעות מילות החיפוש והאופרטורים: liveness AND media AND television. קישור לטקסט המלא:</w:t>
      </w:r>
    </w:p>
    <w:p>
      <w:pPr>
        <w:bidi w:val="false"/>
        <w:spacing w:after="120" w:line="360" w:lineRule="auto"/>
        <w:ind w:left="709"/>
        <w:jc w:val="left"/>
      </w:pPr>
      <w:hyperlink w:history="1" r:id="rIdp9djfoqt9gnecxdajb5wv">
        <w:r>
          <w:rPr>
            <w:rStyle w:val="Hyperlink"/>
            <w:rFonts w:ascii="Times New Roman" w:cs="Times New Roman" w:eastAsia="Times New Roman" w:hAnsi="Times New Roman"/>
            <w:sz w:val="22"/>
            <w:szCs w:val="22"/>
          </w:rPr>
          <w:t xml:space="preserve">https://pmc.ncbi.nlm.nih.gov/articles/PMC5732612/</w:t>
        </w:r>
      </w:hyperlink>
    </w:p>
    <w:p>
      <w:pPr>
        <w:bidi/>
        <w:spacing w:after="120" w:line="360" w:lineRule="auto"/>
        <w:jc w:val="both"/>
      </w:pPr>
      <w:r>
        <w:rPr>
          <w:rFonts w:ascii="Times New Roman" w:cs="David" w:eastAsia="David" w:hAnsi="Times New Roman"/>
          <w:b w:val="false"/>
          <w:i w:val="false"/>
          <w:sz w:val="24"/>
          <w:szCs w:val="24"/>
          <w:rtl/>
        </w:rPr>
        <w:t xml:space="preserve">(Das et al., 2025) - מאמר אקדמי מכתב עת. אותר במאגר המשפטי הפתוח AustLII באמצעות מילות החיפוש והאופרטורים: jury AND "social media" AND "fair trial". קישור לטקסט המלא:</w:t>
      </w:r>
    </w:p>
    <w:p>
      <w:pPr>
        <w:bidi w:val="false"/>
        <w:spacing w:after="120" w:line="360" w:lineRule="auto"/>
        <w:ind w:left="709"/>
        <w:jc w:val="left"/>
      </w:pPr>
      <w:hyperlink w:history="1" r:id="rIdvogcjtnc1c3s0ebtv7uwd">
        <w:r>
          <w:rPr>
            <w:rStyle w:val="Hyperlink"/>
            <w:rFonts w:ascii="Times New Roman" w:cs="Times New Roman" w:eastAsia="Times New Roman" w:hAnsi="Times New Roman"/>
            <w:sz w:val="22"/>
            <w:szCs w:val="22"/>
          </w:rPr>
          <w:t xml:space="preserve">https://www.austlii.edu.au/au/journals/UWALawRw/2025/11.pdf</w:t>
        </w:r>
      </w:hyperlink>
    </w:p>
    <w:p>
      <w:pPr>
        <w:bidi/>
        <w:spacing w:after="120" w:line="360" w:lineRule="auto"/>
        <w:jc w:val="both"/>
      </w:pPr>
      <w:r>
        <w:rPr>
          <w:rFonts w:ascii="Times New Roman" w:cs="David" w:eastAsia="David" w:hAnsi="Times New Roman"/>
          <w:b w:val="false"/>
          <w:i w:val="false"/>
          <w:sz w:val="24"/>
          <w:szCs w:val="24"/>
          <w:rtl/>
        </w:rPr>
        <w:t xml:space="preserve">(Nelson, 2025) - מאמר אקדמי מכתב עת. אותר במנוע החיפוש Google Scholar באמצעות מילות החיפוש והאופרטורים: "Depp v Heard" AND livestream AND "social media". קישור לטקסט המלא:</w:t>
      </w:r>
    </w:p>
    <w:p>
      <w:pPr>
        <w:bidi w:val="false"/>
        <w:spacing w:after="120" w:line="360" w:lineRule="auto"/>
        <w:ind w:left="709"/>
        <w:jc w:val="left"/>
      </w:pPr>
      <w:hyperlink w:history="1" r:id="rIdcpwt6v-nljqwzov-5ezuh">
        <w:r>
          <w:rPr>
            <w:rStyle w:val="Hyperlink"/>
            <w:rFonts w:ascii="Times New Roman" w:cs="Times New Roman" w:eastAsia="Times New Roman" w:hAnsi="Times New Roman"/>
            <w:sz w:val="22"/>
            <w:szCs w:val="22"/>
          </w:rPr>
          <w:t xml:space="preserve">https://researchonline.nd.edu.au/arts_article/190/</w:t>
        </w:r>
      </w:hyperlink>
    </w:p>
    <w:p>
      <w:pPr>
        <w:bidi/>
        <w:spacing w:after="240" w:line="360" w:lineRule="auto"/>
        <w:jc w:val="start"/>
      </w:pPr>
      <w:r>
        <w:rPr>
          <w:rFonts w:ascii="Times New Roman" w:cs="David" w:eastAsia="David" w:hAnsi="Times New Roman"/>
          <w:b/>
          <w:bCs/>
          <w:i w:val="false"/>
          <w:sz w:val="32"/>
          <w:szCs w:val="32"/>
          <w:rtl/>
        </w:rPr>
        <w:t xml:space="preserve">3. ראש הפרק: השידור החי כמנגנון תרבותי, מן החיות הטכנולוגית אל הכרעת הקהל</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במושג השידור החי ובתפקידו התרבותי כאשר ההליך המשודר הוא הליך משפטי. בשיח הרווח נתפס השידור החי כעניין טכני בלבד, כלומר כהעברה של אירוע בזמן שהוא מתרחש. הטענה המרכזית של ראש הפרק היא שהחיות אינה תכונה טכנית של הטקסט אלא טענה שהמדיה מייצרת ומנהלת, וככזו היא מקנה לצופה תחושת השתתפות ולא רק תחושת צפייה. מן הטענה נגזרת השערה מעשית: כאשר משפט משודר בשידור חי, הצופה אינו נותר קהל אלא נעשה שותף המפרש את הראיות בזמן אמת ומגבש הכרעה משלו. השערה זו נעשית משמעותית במיוחד כאשר הצפייה החיה מלווה בפלטפורמות המאפשרות תגובה מיידית והמונית. לביסוס הטענה נשען הפרק על שלושה מקורות מן העשור האחרון: מחקר תאורטי על מושג החיות, מחקר משפטי על מושבעים בסביבה מקוונת, ומחקר מקרה על ההליך שבמוקד העבודה. הדיון המשולב בשלושתם יניח את התשתית לבחינת השאלה מי מכריע כאשר ההכרעה משודרת.</w:t>
      </w:r>
    </w:p>
    <w:p>
      <w:pPr>
        <w:bidi/>
        <w:spacing w:after="120" w:line="360" w:lineRule="auto"/>
        <w:jc w:val="both"/>
      </w:pPr>
      <w:r>
        <w:rPr>
          <w:rFonts w:ascii="Times New Roman" w:cs="David" w:eastAsia="David" w:hAnsi="Times New Roman"/>
          <w:b w:val="false"/>
          <w:i w:val="false"/>
          <w:sz w:val="24"/>
          <w:szCs w:val="24"/>
          <w:rtl/>
        </w:rPr>
        <w:t xml:space="preserve">ואן אס (van Es, 2017) מציעה לחשוב מחדש על מושג החיות במחקר התקשורת, ולוותר על ההנחה שהוא מתאר תכונה טכנולוגית יציבה. לטענתה, החיות היא טענה שהמדיה משמיעה על עצמה, ולא עובדה הנמדדת במרחק הזמן שבין ההתרחשות לבין שידורה. מכאן שהיא נבנית ומתוחזקת באמצעות מוסכמות, סימנים ופרקטיקות המשכנעים את הצופה שהוא נוכח באירוע בשעה שהוא קורה. ואן אס מדגישה שהטענה הזאת אינה ניטרלית, שכן שחקנים שונים מתחרים על הזכות להגדיר מה ייחשב "חי" ומה לא. משמעות הדבר היא שהחיות מחלקת ערך: מה שמוגדר חי נתפס כדחוף, כאותנטי וכראוי לתשומת לב מיידית. עבור ראש פרק זה, המסקנה החשובה היא שהשידור החי אינו אמצעי העברה בלבד אלא מנגנון המארגן את מעמדו של הצופה ואת מידת מעורבותו.</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מראים מה קורה כאשר מנגנון החיות פוגש פלטפורמה המאפשרת השתתפות המונית, וכל אחד מהם עושה זאת מזווית אחרת. דאס ואחרים (Das et al., 2025) בוחנים את האיום שמציבות הרשתות החברתיות בפני הגינותו של משפט מושבעים, ומראים שהמידע החיצוני אינו מגיע עוד רק מבחוץ אלא נמצא בכיסו של כל מושבע. מן המחקר עולה שמושבעים עלולים לחפש מידע על התיק ברשת, להיחשף לעמדותיהם של אחרים ואף לפרסם בעצמם, ושהכלים המסורתיים לשמירה על טוהר ההליך מתקשים לעמוד מול היקף החשיפה ומהירותה. נלסון (Nelson, 2025) בוחנת את הצד המשלים במחקר מקרה על ההליך שבין דפ להרד, שהיה משודר במלואו והפך לאירוע רשת עולמי. היא מתעדת היקפי השתתפות חריגים, ובכללם מיליארדי צפיות בתגיות ייעודיות ומיליוני פרסומים, ומראה כיצד השיח התארגן במהירות סביב צד אחד. קריאה משולבת של השניים מלמדת שהגבול בין הקהל למושבעים נעשה נקבובי משני עבריו: הקהל מתנהג כמכריע, והמכריעים חשופים לקהל. כך מתחדדת טענת ראש הפרק, שלפיה החיות אינה רק אופן שידור אלא מנגנון המסמיך את הצופה להכריע.</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שהשידור החי מעניק לצופה מעמד של משתתף, ובהליך משפטי משמעו מעמד של מכריע בפועל. שלושת המקורות מצביעים יחד על אותו מהלך: החיות נבנית כטענה, הטענה מייצרת מעורבות, והמעורבות נעשית שיפוטית. מכאן שהשאלה מי מוסמך להכריע אינה נשארת בתחומי האולם, אלא נפתחת אל כל מי שצופה בזמן אמת. ראש הפרק אינו מתיימר לקבוע שהקהל מחליף את חבר המושבעים, אלא להראות שנוצרת לצידו זירת הכרעה מקבילה. מסקנה זו מובילה ישירות לראש הפרק הבא בסקירת הספרות, שיעסוק במוסד המושבעים עצמו. שם ייבחנו ההנחות שעליהן הוא נשען ומידת עמידותן בסביבה שבה ההליך גלוי לצפייה מתמשכת.</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Das, C. A., Aston, J., &amp; Rigby, H. (2025). #australianjury#socialmedia: Natural justice on trial. </w:t>
      </w:r>
      <w:r>
        <w:rPr>
          <w:rFonts w:ascii="Times New Roman" w:cs="Times New Roman" w:eastAsia="Times New Roman" w:hAnsi="Times New Roman"/>
          <w:b w:val="false"/>
          <w:i/>
          <w:iCs/>
          <w:sz w:val="24"/>
          <w:szCs w:val="24"/>
          <w:rtl w:val="false"/>
        </w:rPr>
        <w:t xml:space="preserve">University of Western Australia Law Review, 53</w:t>
      </w:r>
      <w:r>
        <w:rPr>
          <w:rFonts w:ascii="Times New Roman" w:cs="Times New Roman" w:eastAsia="Times New Roman" w:hAnsi="Times New Roman"/>
          <w:b w:val="false"/>
          <w:i w:val="false"/>
          <w:sz w:val="24"/>
          <w:szCs w:val="24"/>
          <w:rtl w:val="false"/>
        </w:rPr>
        <w:t xml:space="preserve">(1), 220-239.</w:t>
      </w:r>
    </w:p>
    <w:p>
      <w:pPr>
        <w:bidi w:val="false"/>
        <w:spacing w:after="180" w:line="360" w:lineRule="auto"/>
        <w:ind w:left="709"/>
        <w:jc w:val="left"/>
      </w:pPr>
      <w:hyperlink w:history="1" r:id="rIdygh5dmikfhpuxiztox3gd">
        <w:r>
          <w:rPr>
            <w:rStyle w:val="Hyperlink"/>
            <w:rFonts w:ascii="Times New Roman" w:cs="Times New Roman" w:eastAsia="Times New Roman" w:hAnsi="Times New Roman"/>
            <w:sz w:val="22"/>
            <w:szCs w:val="22"/>
          </w:rPr>
          <w:t xml:space="preserve">https://www.austlii.edu.au/au/journals/UWALawRw/2025/11.pdf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Nelson, C. (2025). "A public orgy of misogyny": Gender, power, media, and legal spectacle in Depp v Heard. </w:t>
      </w:r>
      <w:r>
        <w:rPr>
          <w:rFonts w:ascii="Times New Roman" w:cs="Times New Roman" w:eastAsia="Times New Roman" w:hAnsi="Times New Roman"/>
          <w:b w:val="false"/>
          <w:i/>
          <w:iCs/>
          <w:sz w:val="24"/>
          <w:szCs w:val="24"/>
          <w:rtl w:val="false"/>
        </w:rPr>
        <w:t xml:space="preserve">Feminist Media Studies, 25</w:t>
      </w:r>
      <w:r>
        <w:rPr>
          <w:rFonts w:ascii="Times New Roman" w:cs="Times New Roman" w:eastAsia="Times New Roman" w:hAnsi="Times New Roman"/>
          <w:b w:val="false"/>
          <w:i w:val="false"/>
          <w:sz w:val="24"/>
          <w:szCs w:val="24"/>
          <w:rtl w:val="false"/>
        </w:rPr>
        <w:t xml:space="preserve">(2), 233-249.</w:t>
      </w:r>
    </w:p>
    <w:p>
      <w:pPr>
        <w:bidi w:val="false"/>
        <w:spacing w:after="180" w:line="360" w:lineRule="auto"/>
        <w:ind w:left="709"/>
        <w:jc w:val="left"/>
      </w:pPr>
      <w:hyperlink w:history="1" r:id="rIdjaqmkryw5-bv304nrdret">
        <w:r>
          <w:rPr>
            <w:rStyle w:val="Hyperlink"/>
            <w:rFonts w:ascii="Times New Roman" w:cs="Times New Roman" w:eastAsia="Times New Roman" w:hAnsi="Times New Roman"/>
            <w:sz w:val="22"/>
            <w:szCs w:val="22"/>
          </w:rPr>
          <w:t xml:space="preserve">https://researchonline.nd.edu.au/arts_article/190/</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van Es, K. (2017). Liveness redux: On media and their claim to be live. </w:t>
      </w:r>
      <w:r>
        <w:rPr>
          <w:rFonts w:ascii="Times New Roman" w:cs="Times New Roman" w:eastAsia="Times New Roman" w:hAnsi="Times New Roman"/>
          <w:b w:val="false"/>
          <w:i/>
          <w:iCs/>
          <w:sz w:val="24"/>
          <w:szCs w:val="24"/>
          <w:rtl w:val="false"/>
        </w:rPr>
        <w:t xml:space="preserve">Media, Culture &amp; Society, 39</w:t>
      </w:r>
      <w:r>
        <w:rPr>
          <w:rFonts w:ascii="Times New Roman" w:cs="Times New Roman" w:eastAsia="Times New Roman" w:hAnsi="Times New Roman"/>
          <w:b w:val="false"/>
          <w:i w:val="false"/>
          <w:sz w:val="24"/>
          <w:szCs w:val="24"/>
          <w:rtl w:val="false"/>
        </w:rPr>
        <w:t xml:space="preserve">(8), 1245-1256.</w:t>
      </w:r>
    </w:p>
    <w:p>
      <w:pPr>
        <w:bidi w:val="false"/>
        <w:spacing w:after="180" w:line="360" w:lineRule="auto"/>
        <w:ind w:left="709"/>
        <w:jc w:val="left"/>
      </w:pPr>
      <w:hyperlink w:history="1" r:id="rIdxa7bm1mphp2apunkiqxz0">
        <w:r>
          <w:rPr>
            <w:rStyle w:val="Hyperlink"/>
            <w:rFonts w:ascii="Times New Roman" w:cs="Times New Roman" w:eastAsia="Times New Roman" w:hAnsi="Times New Roman"/>
            <w:sz w:val="22"/>
            <w:szCs w:val="22"/>
          </w:rPr>
          <w:t xml:space="preserve">https://pmc.ncbi.nlm.nih.gov/articles/PMC5732612/</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המרכזיים מן הפריטים האקדמיים ששימשו לכתיבת 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Das ואחרים (2025), עמ' 220-221 (תקציר, תוכן העניינים ופתיחת המאמר)</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p9djfoqt9gnecxdajb5wv" Type="http://schemas.openxmlformats.org/officeDocument/2006/relationships/hyperlink" Target="https://pmc.ncbi.nlm.nih.gov/articles/PMC5732612/" TargetMode="External"/><Relationship Id="rIdvogcjtnc1c3s0ebtv7uwd" Type="http://schemas.openxmlformats.org/officeDocument/2006/relationships/hyperlink" Target="https://www.austlii.edu.au/au/journals/UWALawRw/2025/11.pdf" TargetMode="External"/><Relationship Id="rIdcpwt6v-nljqwzov-5ezuh" Type="http://schemas.openxmlformats.org/officeDocument/2006/relationships/hyperlink" Target="https://researchonline.nd.edu.au/arts_article/190/" TargetMode="External"/><Relationship Id="rIdygh5dmikfhpuxiztox3gd" Type="http://schemas.openxmlformats.org/officeDocument/2006/relationships/hyperlink" Target="https://www.austlii.edu.au/au/journals/UWALawRw/2025/11.pdf" TargetMode="External"/><Relationship Id="rIdjaqmkryw5-bv304nrdret" Type="http://schemas.openxmlformats.org/officeDocument/2006/relationships/hyperlink" Target="https://researchonline.nd.edu.au/arts_article/190/" TargetMode="External"/><Relationship Id="rIdxa7bm1mphp2apunkiqxz0" Type="http://schemas.openxmlformats.org/officeDocument/2006/relationships/hyperlink" Target="https://pmc.ncbi.nlm.nih.gov/articles/PMC5732612/" TargetMode="External"/><Relationship Id="rId9" Type="http://schemas.openxmlformats.org/officeDocument/2006/relationships/image" Target="media/99ae67a31b71bcef768a9abbdfcbe00ef4cfb054.jpg"/><Relationship Id="rId10" Type="http://schemas.openxmlformats.org/officeDocument/2006/relationships/image" Target="media/b57e7a5259b84a0391ff808e79d15573eea2563d.jpg"/><Relationship Id="rId11" Type="http://schemas.openxmlformats.org/officeDocument/2006/relationships/image" Target="media/1db57045d2f08bf90bcc7f9dc24fa6bbf01f3ec0.jpg"/><Relationship Id="rId12" Type="http://schemas.openxmlformats.org/officeDocument/2006/relationships/image" Target="media/3f685a86fe2695dfdf22288d83dca94c52e062b7.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______________</dc:creator>
  <cp:lastModifiedBy>Un-named</cp:lastModifiedBy>
  <cp:revision>1</cp:revision>
  <dcterms:created xsi:type="dcterms:W3CDTF">2026-08-01T19:39:35.473Z</dcterms:created>
  <dcterms:modified xsi:type="dcterms:W3CDTF">2026-08-01T19:39:35.474Z</dcterms:modified>
</cp:coreProperties>
</file>

<file path=docProps/custom.xml><?xml version="1.0" encoding="utf-8"?>
<Properties xmlns="http://schemas.openxmlformats.org/officeDocument/2006/custom-properties" xmlns:vt="http://schemas.openxmlformats.org/officeDocument/2006/docPropsVTypes"/>
</file>