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2"/>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33"/>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4"/>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5"/>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6"/>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7"/>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38"/>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9"/>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0"/>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41"/>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2"/>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3"/>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4"/>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45"/>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6"/>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47"/>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48"/>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49"/>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50"/>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51"/>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2"/>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53"/>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4"/>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5"/>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6"/>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57"/>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58"/>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59"/>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60"/>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61"/>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62"/>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63"/>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4"/>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5"/>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6"/>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7"/>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68"/>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69"/>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70"/>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71"/>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72"/>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73"/>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74"/>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5"/>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6"/>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77"/>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78"/>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79"/>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80"/>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8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82"/>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83"/>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84"/>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85"/>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6"/>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87"/>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88"/>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89"/>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90"/>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91"/>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92"/>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93"/>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94"/>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95"/>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96"/>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98"/>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99"/>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00"/>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01"/>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02"/>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03"/>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04"/>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05"/>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06"/>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07"/>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08"/>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09"/>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10"/>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11"/>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12"/>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13"/>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14"/>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15"/>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16"/>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17"/>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18"/>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w:t>
      </w:r>
    </w:p>
  </w:footnote>
  <w:footnote w:id="33">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34">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5">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344 ואילך.</w:t>
      </w:r>
    </w:p>
  </w:footnote>
  <w:footnote w:id="36">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7">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8">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39">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0">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1">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2">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4">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43</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40</w:t>
      </w:r>
      <w:r>
        <w:rPr>
          <w:rFonts w:ascii="David" w:cs="David" w:eastAsia="David" w:hAnsi="David"/>
          <w:sz w:val="20"/>
          <w:szCs w:val="20"/>
          <w:rtl/>
        </w:rPr>
        <w:t xml:space="preserve">, לעניין היחס בין רישיון לחזקה.</w:t>
      </w:r>
    </w:p>
  </w:footnote>
  <w:footnote w:id="4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46</w:t>
      </w:r>
      <w:r>
        <w:rPr>
          <w:rFonts w:ascii="David" w:cs="David" w:eastAsia="David" w:hAnsi="David"/>
          <w:sz w:val="20"/>
          <w:szCs w:val="20"/>
          <w:rtl/>
        </w:rPr>
        <w:t xml:space="preserve">, בעמ׳ 3–4 לפסק הדין.</w:t>
      </w:r>
    </w:p>
  </w:footnote>
  <w:footnote w:id="48">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9">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50">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51">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2">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53">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54">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55">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6">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48</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5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59">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61">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62">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63">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282.</w:t>
      </w:r>
    </w:p>
  </w:footnote>
  <w:footnote w:id="64">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5">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6">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7">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151.</w:t>
      </w:r>
    </w:p>
  </w:footnote>
  <w:footnote w:id="68">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153–154.</w:t>
      </w:r>
    </w:p>
  </w:footnote>
  <w:footnote w:id="69">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282–284, והפסיקה הנסקרת שם.</w:t>
      </w:r>
    </w:p>
  </w:footnote>
  <w:footnote w:id="71">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63</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73">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74">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5">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82">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34</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8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38</w:t>
      </w:r>
      <w:r>
        <w:rPr>
          <w:rFonts w:ascii="David" w:cs="David" w:eastAsia="David" w:hAnsi="David"/>
          <w:sz w:val="20"/>
          <w:szCs w:val="20"/>
          <w:rtl/>
        </w:rPr>
        <w:t xml:space="preserve">.</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87">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88">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90">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91">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72</w:t>
      </w:r>
      <w:r>
        <w:rPr>
          <w:rFonts w:ascii="David" w:cs="David" w:eastAsia="David" w:hAnsi="David"/>
          <w:sz w:val="20"/>
          <w:szCs w:val="20"/>
          <w:rtl/>
        </w:rPr>
        <w:t xml:space="preserve">.</w:t>
      </w:r>
    </w:p>
  </w:footnote>
  <w:footnote w:id="9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9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95">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96">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97">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88</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01">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02">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04">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05">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06">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07">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08">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11">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12">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1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15">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37</w:t>
      </w:r>
      <w:r>
        <w:rPr>
          <w:rFonts w:ascii="David" w:cs="David" w:eastAsia="David" w:hAnsi="David"/>
          <w:sz w:val="20"/>
          <w:szCs w:val="20"/>
          <w:rtl/>
        </w:rPr>
        <w:t xml:space="preserve">.</w:t>
      </w:r>
    </w:p>
  </w:footnote>
  <w:footnote w:id="116">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82</w:t>
      </w:r>
      <w:r>
        <w:rPr>
          <w:rFonts w:ascii="David" w:cs="David" w:eastAsia="David" w:hAnsi="David"/>
          <w:sz w:val="20"/>
          <w:szCs w:val="20"/>
          <w:rtl/>
        </w:rPr>
        <w:t xml:space="preserve">.</w:t>
      </w:r>
    </w:p>
  </w:footnote>
  <w:footnote w:id="117">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18">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2026-08-28T08:14:02.375Z</dcterms:created>
  <dcterms:modified xsi:type="dcterms:W3CDTF">2026-08-28T08:14:02.375Z</dcterms:modified>
</cp:coreProperties>
</file>

<file path=docProps/custom.xml><?xml version="1.0" encoding="utf-8"?>
<Properties xmlns="http://schemas.openxmlformats.org/officeDocument/2006/custom-properties" xmlns:vt="http://schemas.openxmlformats.org/officeDocument/2006/docPropsVTypes"/>
</file>