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60" w:lineRule="auto"/>
        <w:jc w:val="center"/>
      </w:pPr>
      <w:r>
        <w:rPr>
          <w:rFonts w:ascii="Times New Roman" w:cs="David" w:eastAsia="David" w:hAnsi="Times New Roman"/>
          <w:b/>
          <w:bCs/>
          <w:i w:val="false"/>
          <w:sz w:val="30"/>
          <w:szCs w:val="30"/>
          <w:rtl/>
        </w:rPr>
        <w:t xml:space="preserve">המסלול האקדמי המכללה למינהל</w:t>
      </w:r>
    </w:p>
    <w:p>
      <w:pPr>
        <w:bidi/>
        <w:spacing w:after="480" w:before="0" w:line="360" w:lineRule="auto"/>
        <w:jc w:val="center"/>
      </w:pPr>
      <w:r>
        <w:rPr>
          <w:rFonts w:ascii="Times New Roman" w:cs="David" w:eastAsia="David" w:hAnsi="Times New Roman"/>
          <w:b/>
          <w:bCs/>
          <w:i w:val="false"/>
          <w:sz w:val="28"/>
          <w:szCs w:val="28"/>
          <w:rtl/>
        </w:rPr>
        <w:t xml:space="preserve">בית הספר לתקשורת</w:t>
      </w:r>
    </w:p>
    <w:p>
      <w:pPr>
        <w:bidi/>
        <w:spacing w:after="60" w:before="0" w:line="360" w:lineRule="auto"/>
        <w:jc w:val="center"/>
      </w:pPr>
      <w:r>
        <w:rPr>
          <w:rFonts w:ascii="Times New Roman" w:cs="David" w:eastAsia="David" w:hAnsi="Times New Roman"/>
          <w:b w:val="false"/>
          <w:i w:val="false"/>
          <w:sz w:val="26"/>
          <w:szCs w:val="26"/>
          <w:rtl/>
        </w:rPr>
        <w:t xml:space="preserve">עבודת סמינריון בקורס:</w:t>
      </w:r>
    </w:p>
    <w:p>
      <w:pPr>
        <w:bidi/>
        <w:spacing w:after="360" w:before="0" w:line="360" w:lineRule="auto"/>
        <w:jc w:val="center"/>
      </w:pPr>
      <w:r>
        <w:rPr>
          <w:rFonts w:ascii="Times New Roman" w:cs="David" w:eastAsia="David" w:hAnsi="Times New Roman"/>
          <w:b/>
          <w:bCs/>
          <w:i w:val="false"/>
          <w:sz w:val="28"/>
          <w:szCs w:val="28"/>
          <w:rtl/>
        </w:rPr>
        <w:t xml:space="preserve">המשפט כתרבות פופולרית</w:t>
      </w:r>
    </w:p>
    <w:p>
      <w:pPr>
        <w:bidi/>
        <w:spacing w:after="360" w:before="0" w:line="360" w:lineRule="auto"/>
        <w:jc w:val="center"/>
      </w:pPr>
      <w:r>
        <w:rPr>
          <w:rFonts w:ascii="Times New Roman" w:cs="David" w:eastAsia="David" w:hAnsi="Times New Roman"/>
          <w:b/>
          <w:bCs/>
          <w:i w:val="false"/>
          <w:sz w:val="32"/>
          <w:szCs w:val="32"/>
          <w:rtl/>
        </w:rPr>
        <w:t xml:space="preserve">חבר המושבעים של הטיקטוק: השידור החי של משפט דפ נגד הרד והכרעת הקהל</w:t>
      </w:r>
    </w:p>
    <w:p>
      <w:pPr>
        <w:bidi/>
        <w:spacing w:after="60" w:before="0" w:line="360" w:lineRule="auto"/>
        <w:jc w:val="center"/>
      </w:pPr>
      <w:r>
        <w:rPr>
          <w:rFonts w:ascii="Times New Roman" w:cs="David" w:eastAsia="David" w:hAnsi="Times New Roman"/>
          <w:b/>
          <w:bCs/>
          <w:i w:val="false"/>
          <w:sz w:val="26"/>
          <w:szCs w:val="26"/>
          <w:rtl/>
        </w:rPr>
        <w:t xml:space="preserve">שאלת המחקר:</w:t>
      </w:r>
    </w:p>
    <w:p>
      <w:pPr>
        <w:bidi/>
        <w:spacing w:after="480" w:before="0" w:line="360" w:lineRule="auto"/>
        <w:jc w:val="center"/>
      </w:pPr>
      <w:r>
        <w:rPr>
          <w:rFonts w:ascii="Times New Roman" w:cs="David" w:eastAsia="David" w:hAnsi="Times New Roman"/>
          <w:b w:val="false"/>
          <w:i w:val="false"/>
          <w:sz w:val="26"/>
          <w:szCs w:val="26"/>
          <w:rtl/>
        </w:rPr>
        <w:t xml:space="preserve">כיצד השידור החי של משפט ג'וני דפ והפיכתו לוויראלי יצרו "חבר מושבעים אלטרנטיבי" שערער על מוסד המושבעים המסורתי?</w:t>
      </w:r>
    </w:p>
    <w:p>
      <w:pPr>
        <w:bidi/>
        <w:spacing w:after="60" w:before="0" w:line="360" w:lineRule="auto"/>
        <w:jc w:val="center"/>
      </w:pPr>
      <w:r>
        <w:rPr>
          <w:rFonts w:ascii="Times New Roman" w:cs="David" w:eastAsia="David" w:hAnsi="Times New Roman"/>
          <w:b w:val="false"/>
          <w:i w:val="false"/>
          <w:sz w:val="26"/>
          <w:szCs w:val="26"/>
          <w:rtl/>
        </w:rPr>
        <w:t xml:space="preserve">מרצה: ______________</w:t>
      </w:r>
    </w:p>
    <w:p>
      <w:pPr>
        <w:bidi/>
        <w:spacing w:after="60" w:before="0" w:line="360" w:lineRule="auto"/>
        <w:jc w:val="center"/>
      </w:pPr>
      <w:r>
        <w:rPr>
          <w:rFonts w:ascii="Times New Roman" w:cs="David" w:eastAsia="David" w:hAnsi="Times New Roman"/>
          <w:b/>
          <w:bCs/>
          <w:i w:val="false"/>
          <w:sz w:val="26"/>
          <w:szCs w:val="26"/>
          <w:rtl/>
        </w:rPr>
        <w:t xml:space="preserve">מגישה: ______________</w:t>
      </w:r>
    </w:p>
    <w:p>
      <w:pPr>
        <w:bidi/>
        <w:spacing w:after="480" w:before="0" w:line="360" w:lineRule="auto"/>
        <w:jc w:val="center"/>
      </w:pPr>
      <w:r>
        <w:rPr>
          <w:rFonts w:ascii="Times New Roman" w:cs="David" w:eastAsia="David" w:hAnsi="Times New Roman"/>
          <w:b w:val="false"/>
          <w:i w:val="false"/>
          <w:sz w:val="26"/>
          <w:szCs w:val="26"/>
          <w:rtl/>
        </w:rPr>
        <w:t xml:space="preserve">ת"ז: ______________</w:t>
      </w:r>
    </w:p>
    <w:p>
      <w:pPr>
        <w:bidi/>
        <w:spacing w:after="0" w:before="0" w:line="360" w:lineRule="auto"/>
        <w:jc w:val="center"/>
      </w:pPr>
      <w:r>
        <w:rPr>
          <w:rFonts w:ascii="Times New Roman" w:cs="David" w:eastAsia="David" w:hAnsi="Times New Roman"/>
          <w:b w:val="false"/>
          <w:i w:val="false"/>
          <w:sz w:val="26"/>
          <w:szCs w:val="26"/>
          <w:rtl/>
        </w:rPr>
        <w:t xml:space="preserve">אב תשפ"ו, אוגוסט 2026</w:t>
      </w:r>
    </w:p>
    <w:p>
      <w:pPr>
        <w:pageBreakBefore/>
        <w:bidi/>
        <w:spacing w:after="240" w:line="360" w:lineRule="auto"/>
        <w:jc w:val="start"/>
      </w:pPr>
      <w:r>
        <w:rPr>
          <w:rFonts w:ascii="Times New Roman" w:cs="David" w:eastAsia="David" w:hAnsi="Times New Roman"/>
          <w:b/>
          <w:bCs/>
          <w:i w:val="false"/>
          <w:sz w:val="32"/>
          <w:szCs w:val="32"/>
          <w:rtl/>
        </w:rPr>
        <w:t xml:space="preserve">תוכן עניינים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מבוא</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3</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סקירת ספרות</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4</w:t>
            </w:r>
          </w:p>
        </w:tc>
      </w:tr>
      <w:tr>
        <w:tc>
          <w:tcPr>
            <w:tcW w:type="dxa" w:w="7800"/>
            <w:tcBorders>
              <w:top w:val="none" w:color="FFFFFF" w:sz="0"/>
              <w:left w:val="none" w:color="FFFFFF" w:sz="0"/>
              <w:bottom w:val="none" w:color="FFFFFF" w:sz="0"/>
              <w:right w:val="none" w:color="FFFFFF" w:sz="0"/>
            </w:tcBorders>
          </w:tcPr>
          <w:p>
            <w:pPr>
              <w:bidi/>
              <w:spacing w:after="60" w:line="360" w:lineRule="auto"/>
              <w:ind w:left="567"/>
              <w:jc w:val="start"/>
            </w:pPr>
            <w:r>
              <w:rPr>
                <w:rFonts w:ascii="Times New Roman" w:cs="David" w:eastAsia="David" w:hAnsi="Times New Roman"/>
                <w:b w:val="false"/>
                <w:i w:val="false"/>
                <w:sz w:val="24"/>
                <w:szCs w:val="24"/>
                <w:rtl/>
              </w:rPr>
              <w:t xml:space="preserve">פרק 1: השידור החי כמושג תרבותי ומשפט המשודר בזמן אמת</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val="false"/>
                <w:i w:val="false"/>
                <w:sz w:val="24"/>
                <w:szCs w:val="24"/>
                <w:rtl/>
              </w:rPr>
              <w:t xml:space="preserve">4</w:t>
            </w:r>
          </w:p>
        </w:tc>
      </w:tr>
      <w:tr>
        <w:tc>
          <w:tcPr>
            <w:tcW w:type="dxa" w:w="7800"/>
            <w:tcBorders>
              <w:top w:val="none" w:color="FFFFFF" w:sz="0"/>
              <w:left w:val="none" w:color="FFFFFF" w:sz="0"/>
              <w:bottom w:val="none" w:color="FFFFFF" w:sz="0"/>
              <w:right w:val="none" w:color="FFFFFF" w:sz="0"/>
            </w:tcBorders>
          </w:tcPr>
          <w:p>
            <w:pPr>
              <w:bidi/>
              <w:spacing w:after="60" w:line="360" w:lineRule="auto"/>
              <w:ind w:left="567"/>
              <w:jc w:val="start"/>
            </w:pPr>
            <w:r>
              <w:rPr>
                <w:rFonts w:ascii="Times New Roman" w:cs="David" w:eastAsia="David" w:hAnsi="Times New Roman"/>
                <w:b w:val="false"/>
                <w:i w:val="false"/>
                <w:sz w:val="24"/>
                <w:szCs w:val="24"/>
                <w:rtl/>
              </w:rPr>
              <w:t xml:space="preserve">פרק 2: מוסד המושבעים והאיום התקשורתי</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val="false"/>
                <w:i w:val="false"/>
                <w:sz w:val="24"/>
                <w:szCs w:val="24"/>
                <w:rtl/>
              </w:rPr>
              <w:t xml:space="preserve">5</w:t>
            </w:r>
          </w:p>
        </w:tc>
      </w:tr>
      <w:tr>
        <w:tc>
          <w:tcPr>
            <w:tcW w:type="dxa" w:w="7800"/>
            <w:tcBorders>
              <w:top w:val="none" w:color="FFFFFF" w:sz="0"/>
              <w:left w:val="none" w:color="FFFFFF" w:sz="0"/>
              <w:bottom w:val="none" w:color="FFFFFF" w:sz="0"/>
              <w:right w:val="none" w:color="FFFFFF" w:sz="0"/>
            </w:tcBorders>
          </w:tcPr>
          <w:p>
            <w:pPr>
              <w:bidi/>
              <w:spacing w:after="60" w:line="360" w:lineRule="auto"/>
              <w:ind w:left="567"/>
              <w:jc w:val="start"/>
            </w:pPr>
            <w:r>
              <w:rPr>
                <w:rFonts w:ascii="Times New Roman" w:cs="David" w:eastAsia="David" w:hAnsi="Times New Roman"/>
                <w:b w:val="false"/>
                <w:i w:val="false"/>
                <w:sz w:val="24"/>
                <w:szCs w:val="24"/>
                <w:rtl/>
              </w:rPr>
              <w:t xml:space="preserve">פרק 3: פרשת דפ נגד הרד: רקע עובדתי</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val="false"/>
                <w:i w:val="false"/>
                <w:sz w:val="24"/>
                <w:szCs w:val="24"/>
                <w:rtl/>
              </w:rPr>
              <w:t xml:space="preserve">6</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מתודולוגיה</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7</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רשימת מקורות</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8</w:t>
            </w:r>
          </w:p>
        </w:tc>
      </w:tr>
    </w:tbl>
    <w:p>
      <w:pPr>
        <w:pageBreakBefore/>
        <w:bidi/>
        <w:spacing w:after="240" w:line="360" w:lineRule="auto"/>
        <w:jc w:val="start"/>
      </w:pPr>
      <w:r>
        <w:rPr>
          <w:rFonts w:ascii="Times New Roman" w:cs="David" w:eastAsia="David" w:hAnsi="Times New Roman"/>
          <w:b/>
          <w:bCs/>
          <w:i w:val="false"/>
          <w:sz w:val="32"/>
          <w:szCs w:val="32"/>
          <w:rtl/>
        </w:rPr>
        <w:t xml:space="preserve">מבוא</w:t>
      </w:r>
    </w:p>
    <w:p>
      <w:pPr>
        <w:bidi/>
        <w:spacing w:after="120" w:line="360" w:lineRule="auto"/>
        <w:jc w:val="both"/>
      </w:pPr>
      <w:r>
        <w:rPr>
          <w:rFonts w:ascii="Times New Roman" w:cs="David" w:eastAsia="David" w:hAnsi="Times New Roman"/>
          <w:b w:val="false"/>
          <w:i w:val="false"/>
          <w:sz w:val="24"/>
          <w:szCs w:val="24"/>
          <w:rtl/>
        </w:rPr>
        <w:t xml:space="preserve">באביב 2022 מצאתי את עצמי צופה בשידור החי של משפט הדיבה בין ג'וני דפ לאמבר הרד, ולא הצלחתי להפסיק. פתחתי את הלייב ברקע בבוקר, חזרתי אליו בהפסקות, וגיליתי שאני יודעת בעל פה את שמות עורכי הדין ואת סדר היום של הדיונים. זו לא הייתה צפייה של מי שמתעניינת במשפט, אלא משהו שקרוב יותר להתמכרות. הרגשתי מושקעת רגשית באירוע שאין לי בו שום חלק, ובעיקר סקרנית לדעת מה יקרה בשעה הבאה.</w:t>
      </w:r>
    </w:p>
    <w:p>
      <w:pPr>
        <w:bidi/>
        <w:spacing w:after="120" w:line="360" w:lineRule="auto"/>
        <w:jc w:val="both"/>
      </w:pPr>
      <w:r>
        <w:rPr>
          <w:rFonts w:ascii="Times New Roman" w:cs="David" w:eastAsia="David" w:hAnsi="Times New Roman"/>
          <w:b w:val="false"/>
          <w:i w:val="false"/>
          <w:sz w:val="24"/>
          <w:szCs w:val="24"/>
          <w:rtl/>
        </w:rPr>
        <w:t xml:space="preserve">במקביל לצפייה, הפיד שלי בטיקטוק התמלא במשפט הזה. כל הפסקה בדיון הפכה תוך דקות לקליפ, כל הבעת פנים של דפ הפכה למם, וסרטונים על עורכת הדין שייצגה אותו צברו מיליוני צפיות. הצד השני של המשוואה היה ברור לא פחות: התוכן על הרד היה שלילי כמעט לחלוטין, לעג ופרודיה. שתי הזירות פעלו במקביל ובאותו הזמן, האולם והאפליקציה, ולפעמים היה קשה לדעת באיזו מהן אני צופה.</w:t>
      </w:r>
    </w:p>
    <w:p>
      <w:pPr>
        <w:bidi/>
        <w:spacing w:after="120" w:line="360" w:lineRule="auto"/>
        <w:jc w:val="both"/>
      </w:pPr>
      <w:r>
        <w:rPr>
          <w:rFonts w:ascii="Times New Roman" w:cs="David" w:eastAsia="David" w:hAnsi="Times New Roman"/>
          <w:b w:val="false"/>
          <w:i w:val="false"/>
          <w:sz w:val="24"/>
          <w:szCs w:val="24"/>
          <w:rtl/>
        </w:rPr>
        <w:t xml:space="preserve">מה שסקרן אותי מיום ליום היה בדיוק החיבור בין השתיים. שאלתי את עצמי אם הממים משקפים את מה שקורה באולם או שהם מייצרים משהו משל עצמם, ואם הקהל שצופה בלייב ומגיב לו ברשת אינו הופך, בפועל, למעין חבר מושבעים משלו. התחושה שלי הייתה שההכרעה הציבורית התקבלה הרבה לפני שחבר המושבעים הרשמי חזר לאולם, ושדווקא ההכרעה המוקדמת הזאת היא שהעניקה לתוצאה הסופית את המשמעות שלה.</w:t>
      </w:r>
    </w:p>
    <w:p>
      <w:pPr>
        <w:bidi/>
        <w:spacing w:after="120" w:line="360" w:lineRule="auto"/>
        <w:jc w:val="both"/>
      </w:pPr>
      <w:r>
        <w:rPr>
          <w:rFonts w:ascii="Times New Roman" w:cs="David" w:eastAsia="David" w:hAnsi="Times New Roman"/>
          <w:b w:val="false"/>
          <w:i w:val="false"/>
          <w:sz w:val="24"/>
          <w:szCs w:val="24"/>
          <w:rtl/>
        </w:rPr>
        <w:t xml:space="preserve">מכאן נגזרה שאלת המחקר של העבודה: כיצד השידור החי של משפט ג'וני דפ והפיכתו לוויראלי יצרו "חבר מושבעים אלטרנטיבי" שערער על מוסד המושבעים המסורתי? העבודה בנויה מסקירת ספרות בשלושה פרקים ומפרק מתודולוגי. הפרק הראשון עוסק במושג השידור החי ובמשמעותו התרבותית, הפרק השני במוסד המושבעים ובחשיפתו ללחץ תקשורתי, והפרק השלישי מציג את הרקע העובדתי של פרשת דפ נגד הרד. פרק המתודולוגיה מסביר מה ייחקר, מדוע וכיצד.</w:t>
      </w:r>
    </w:p>
    <w:p>
      <w:pPr>
        <w:pageBreakBefore/>
        <w:bidi/>
        <w:spacing w:after="240" w:line="360" w:lineRule="auto"/>
        <w:jc w:val="start"/>
      </w:pPr>
      <w:r>
        <w:rPr>
          <w:rFonts w:ascii="Times New Roman" w:cs="David" w:eastAsia="David" w:hAnsi="Times New Roman"/>
          <w:b/>
          <w:bCs/>
          <w:i w:val="false"/>
          <w:sz w:val="32"/>
          <w:szCs w:val="32"/>
          <w:rtl/>
        </w:rPr>
        <w:t xml:space="preserve">סקירת ספרות</w:t>
      </w:r>
    </w:p>
    <w:p>
      <w:pPr>
        <w:bidi/>
        <w:spacing w:after="120" w:line="360" w:lineRule="auto"/>
        <w:jc w:val="both"/>
      </w:pPr>
      <w:r>
        <w:rPr>
          <w:rFonts w:ascii="Times New Roman" w:cs="David" w:eastAsia="David" w:hAnsi="Times New Roman"/>
          <w:b w:val="false"/>
          <w:i w:val="false"/>
          <w:sz w:val="24"/>
          <w:szCs w:val="24"/>
          <w:rtl/>
        </w:rPr>
        <w:t xml:space="preserve">סקירת הספרות מניחה את התשתית המושגית לשאלת המחקר בשלושה צעדים. תחילה ייבחן מושג השידור החי, שהוא המסגרת שבתוכה נצרך המשפט; לאחר מכן ייבחן מוסד המושבעים, שהוא המוסד שהשידור מאתגר; ולבסוף יוצג מקרה הבוחן עצמו, כרקע עובדתי לניתוח שיבוא אחריו.</w:t>
      </w:r>
    </w:p>
    <w:p>
      <w:pPr>
        <w:bidi/>
        <w:spacing w:after="180" w:line="360" w:lineRule="auto"/>
        <w:jc w:val="start"/>
      </w:pPr>
      <w:r>
        <w:rPr>
          <w:rFonts w:ascii="Times New Roman" w:cs="David" w:eastAsia="David" w:hAnsi="Times New Roman"/>
          <w:b/>
          <w:bCs/>
          <w:i w:val="false"/>
          <w:sz w:val="28"/>
          <w:szCs w:val="28"/>
          <w:rtl/>
        </w:rPr>
        <w:t xml:space="preserve">פרק 1: השידור החי כמושג תרבותי ומשפט המשודר בזמן אמת</w:t>
      </w:r>
    </w:p>
    <w:p>
      <w:pPr>
        <w:bidi/>
        <w:spacing w:after="120" w:line="360" w:lineRule="auto"/>
        <w:jc w:val="both"/>
      </w:pPr>
      <w:r>
        <w:rPr>
          <w:rFonts w:ascii="Times New Roman" w:cs="David" w:eastAsia="David" w:hAnsi="Times New Roman"/>
          <w:b w:val="false"/>
          <w:i w:val="false"/>
          <w:sz w:val="24"/>
          <w:szCs w:val="24"/>
          <w:rtl/>
        </w:rPr>
        <w:t xml:space="preserve">השידור החי מוגדר כהעברת מידע על אירוע או על התרחשות בזמן אמיתי, ברדיו, בטלוויזיה או באינטרנט, אך משמעותו התרבותית חורגת בהרבה מן ההיבט הטכני. גורביץ' וערב (2012) מציינים כי השידור החי משקף שינוי תפיסתי עמוק, שעיקרו העדפת העובדות וייצוגיהן על פני הניתוח והחיפוש אחר משמעות. הצופה מוזמן להיות נוכח ב"דבר עצמו", לחוות את האווירה ואת המתח של רגע ההתרחשות, ולא לקבל סיכום מסודר שלו לאחר מעשה. התשוקה שהשידור החי מעורר נשענת על הבטחה כפולה: ההבטחה שמשהו עומד לקרות ממש עכשיו, וההבטחה שהצופה יהיה שם כשזה יקרה.</w:t>
      </w:r>
    </w:p>
    <w:p>
      <w:pPr>
        <w:bidi/>
        <w:spacing w:after="120" w:line="360" w:lineRule="auto"/>
        <w:jc w:val="both"/>
      </w:pPr>
      <w:r>
        <w:rPr>
          <w:rFonts w:ascii="Times New Roman" w:cs="David" w:eastAsia="David" w:hAnsi="Times New Roman"/>
          <w:b w:val="false"/>
          <w:i w:val="false"/>
          <w:sz w:val="24"/>
          <w:szCs w:val="24"/>
          <w:rtl/>
        </w:rPr>
        <w:t xml:space="preserve">המחקר התקשורתי מרחיב את ההבחנה הזאת וטוען שהחיות איננה תכונה טכנית של הטקסט אלא קטגוריה חברתית. קולדרי (Couldry, 2004) מסביר שהחיות מבטיחה לצופה חיבור פוטנציאלי אל מציאות משותפת בזמן שהיא מתרחשת, וכך היא מארגנת את תשומת הלב הקולקטיבית סביב מה שנחשב חשוב באמת. ואן אס (van Es, 2017) מוסיפה שהחיות אינה נתון קבוע אלא טענה שהמדיה מייצרת ומנהלת, וששחקנים שונים מתחרים על הזכות להגדיר מה נחשב "חי". שני המקורות מלמדים שהשידור החי אינו רק אמצעי העברה, אלא מנגנון שמייצר תחושת השתתפות.</w:t>
      </w:r>
    </w:p>
    <w:p>
      <w:pPr>
        <w:bidi/>
        <w:spacing w:after="120" w:line="360" w:lineRule="auto"/>
        <w:jc w:val="both"/>
      </w:pPr>
      <w:r>
        <w:rPr>
          <w:rFonts w:ascii="Times New Roman" w:cs="David" w:eastAsia="David" w:hAnsi="Times New Roman"/>
          <w:b w:val="false"/>
          <w:i w:val="false"/>
          <w:sz w:val="24"/>
          <w:szCs w:val="24"/>
          <w:rtl/>
        </w:rPr>
        <w:t xml:space="preserve">כאשר הליך משפטי משודר בשידור חי, הוא נכנס אל תוך המשטר התרבותי הזה. אולם בית המשפט, שנועד להיות מרחב מוסדי סגור ואיטי, הופך לאירוע מדיה מתמשך שהצופה שותף לו בזמן אמת, בלי התיווך של דיווח מסכם. מבחינת הצופה, ההליך מוצע כרצף של רגעים דרמטיים, שאותם הוא רשאי לפרש בעצמו ומיד. הפער בין הזמן המשפטי לזמן הצפייה מוליך אל השאלה מי מוסמך להכריע במה שנצפה, ובכך עוסק הפרק הבא.</w:t>
      </w:r>
    </w:p>
    <w:p>
      <w:pPr>
        <w:pageBreakBefore/>
        <w:bidi/>
        <w:spacing w:after="180" w:line="360" w:lineRule="auto"/>
        <w:jc w:val="start"/>
      </w:pPr>
      <w:r>
        <w:rPr>
          <w:rFonts w:ascii="Times New Roman" w:cs="David" w:eastAsia="David" w:hAnsi="Times New Roman"/>
          <w:b/>
          <w:bCs/>
          <w:i w:val="false"/>
          <w:sz w:val="28"/>
          <w:szCs w:val="28"/>
          <w:rtl/>
        </w:rPr>
        <w:t xml:space="preserve">פרק 2: מוסד המושבעים והאיום התקשורתי</w:t>
      </w:r>
    </w:p>
    <w:p>
      <w:pPr>
        <w:bidi/>
        <w:spacing w:after="120" w:line="360" w:lineRule="auto"/>
        <w:jc w:val="both"/>
      </w:pPr>
      <w:r>
        <w:rPr>
          <w:rFonts w:ascii="Times New Roman" w:cs="David" w:eastAsia="David" w:hAnsi="Times New Roman"/>
          <w:b w:val="false"/>
          <w:i w:val="false"/>
          <w:sz w:val="24"/>
          <w:szCs w:val="24"/>
          <w:rtl/>
        </w:rPr>
        <w:t xml:space="preserve">חבר המושבעים הוא מוסד שבו קבוצת הדיוטות, שנבחרו מתוך הציבור, מכריעה בשאלות שבעובדה. ההיגיון שבבסיסו הוא כפול: מצד אחד שיפוט על ידי שווים, ומצד שני הכרעה של מי שאין לו ידע מוקדם או עניין אישי בתיק. מכאן נובע הכלל המרכזי שלפיו על המושבעים להכריע אך ורק על סמך הראיות שהוצגו בפניהם באולם, ולא על סמך מידע חיצוני. מרינגולו (Meringolo, 2011) מדגיש שהכלל הזה הוא שעומד בבסיס ההגנה על זכותו של נאשם או של בעל דין להליך הוגן.</w:t>
      </w:r>
    </w:p>
    <w:p>
      <w:pPr>
        <w:bidi/>
        <w:spacing w:after="120" w:line="360" w:lineRule="auto"/>
        <w:jc w:val="both"/>
      </w:pPr>
      <w:r>
        <w:rPr>
          <w:rFonts w:ascii="Times New Roman" w:cs="David" w:eastAsia="David" w:hAnsi="Times New Roman"/>
          <w:b w:val="false"/>
          <w:i w:val="false"/>
          <w:sz w:val="24"/>
          <w:szCs w:val="24"/>
          <w:rtl/>
        </w:rPr>
        <w:t xml:space="preserve">התקשורת מאתגרת את המודל הזה כבר עשרות שנים. מרינגולו (Meringolo, 2011) מתאר את מה שהוא מכנה "הקרקס התקשורתי" שסביב נאשמים בעלי פרופיל ציבורי גבוה, ומראה כיצד סיקור אינטנסיבי עלול לעצב את עמדותיהם של מועמדים למושבעים עוד לפני שנבחרו. כנגד הסכנה הזאת פיתחה השיטה כלים מוסדיים, ובהם הליך מיון קפדני של המושבעים, הנחיות מפורשות מצד השופט ולעיתים אף בידודם מן העולם החיצון. הכלים האלה מניחים תמונה שבה הסיקור מגיע מבחוץ, ממספר מצומצם של אמצעי תקשורת, וניתן לחסום אותו.</w:t>
      </w:r>
    </w:p>
    <w:p>
      <w:pPr>
        <w:bidi/>
        <w:spacing w:after="120" w:line="360" w:lineRule="auto"/>
        <w:jc w:val="both"/>
      </w:pPr>
      <w:r>
        <w:rPr>
          <w:rFonts w:ascii="Times New Roman" w:cs="David" w:eastAsia="David" w:hAnsi="Times New Roman"/>
          <w:b w:val="false"/>
          <w:i w:val="false"/>
          <w:sz w:val="24"/>
          <w:szCs w:val="24"/>
          <w:rtl/>
        </w:rPr>
        <w:t xml:space="preserve">דאס ואחרים (Das et al., 2025) מראים שהאינטרנט והרשתות החברתיות שינו את התמונה מן היסוד. כיום המידע אינו מגיע רק מבחוץ אלא נמצא בכיסו של כל מושבע, והמחקר מתעד מצבים שבהם מושבעים חיפשו מידע על התיק ברשת, נחשפו לעמדותיהם של אחרים או פרסמו בעצמם. החוקרים מסבירים שהמניעים לכך אינם בהכרח זדוניים, אלא נובעים מהרגלי צריכת מידע שהפכו לאוטומטיים, ומצביעים על הקושי לאכוף איסורים בסביבה כזאת. עולה מכך שהגבול בין הקהל למושבעים נעשה נקבובי, ושהשאלה מי בעצם מכריע נעשית מורכבת. הפרק הבא מציג את המקרה שבו הדינמיקה הזאת הגיעה לשיאה.</w:t>
      </w:r>
    </w:p>
    <w:p>
      <w:pPr>
        <w:pageBreakBefore/>
        <w:bidi/>
        <w:spacing w:after="180" w:line="360" w:lineRule="auto"/>
        <w:jc w:val="start"/>
      </w:pPr>
      <w:r>
        <w:rPr>
          <w:rFonts w:ascii="Times New Roman" w:cs="David" w:eastAsia="David" w:hAnsi="Times New Roman"/>
          <w:b/>
          <w:bCs/>
          <w:i w:val="false"/>
          <w:sz w:val="28"/>
          <w:szCs w:val="28"/>
          <w:rtl/>
        </w:rPr>
        <w:t xml:space="preserve">פרק 3: פרשת דפ נגד הרד: רקע עובדתי</w:t>
      </w:r>
    </w:p>
    <w:p>
      <w:pPr>
        <w:bidi/>
        <w:spacing w:after="120" w:line="360" w:lineRule="auto"/>
        <w:jc w:val="both"/>
      </w:pPr>
      <w:r>
        <w:rPr>
          <w:rFonts w:ascii="Times New Roman" w:cs="David" w:eastAsia="David" w:hAnsi="Times New Roman"/>
          <w:b w:val="false"/>
          <w:i w:val="false"/>
          <w:sz w:val="24"/>
          <w:szCs w:val="24"/>
          <w:rtl/>
        </w:rPr>
        <w:t xml:space="preserve">הפרשה נעוצה במאמר דעה שפרסמה השחקנית אמבר הרד בעיתון "וושינגטון פוסט" בדצמבר 2018, ובו תיארה את עצמה כדמות ציבורית שייצגה אלימות במשפחה, בלי לנקוב בשמו של ג'וני דפ. במרץ 2019 הגיש דפ תביעת דיבה נגד הרד לבית המשפט המחוזי של מחוז פיירפקס שבמדינת וירג'יניה, בסכום של 50 מיליון דולר, והרד הגישה נגדו תביעה שכנגד בסך 100 מיליון דולר. במקביל התנהל בבריטניה הליך אחר, שבו תבע דפ את העיתון "The Sun" בגין הכינוי שהודבק לו, והפסיד בו בנובמבר 2020. ההליך הבריטי לא שודר, ולכן הוא משמש נקודת השוואה טבעית להליך האמריקאי.</w:t>
      </w:r>
    </w:p>
    <w:p>
      <w:pPr>
        <w:bidi/>
        <w:spacing w:after="120" w:line="360" w:lineRule="auto"/>
        <w:jc w:val="both"/>
      </w:pPr>
      <w:r>
        <w:rPr>
          <w:rFonts w:ascii="Times New Roman" w:cs="David" w:eastAsia="David" w:hAnsi="Times New Roman"/>
          <w:b w:val="false"/>
          <w:i w:val="false"/>
          <w:sz w:val="24"/>
          <w:szCs w:val="24"/>
          <w:rtl/>
        </w:rPr>
        <w:t xml:space="preserve">המשפט בווירג'יניה התנהל בין 11 באפריל ל-1 ביוני 2022 בפני השופטת פני אזקרטה, שהתירה את כניסתן של מצלמות לאולם. הדיונים שודרו בשידור חי מלא ובאופן רציף, והועברו הן בערוצי טלוויזיה ייעודיים והן בפלטפורמות מקוונות פתוחות לכל. ב-1 ביוני 2022 קבע חבר המושבעים כי הרד הוציאה את דיבתו של דפ בשלוש אמירות, ופסק לזכותו 10.35 מיליון דולר לאחר הפחתת הפיצויים העונשיים לתקרה הקבועה בחוק. באותה הכרעה נקבע גם כי אחת מאמירותיו של בא כוחו של דפ הוציאה את דיבתה של הרד, ולזכותה נפסקו שני מיליון דולר. בדצמבר 2022 הגיעו הצדדים להסדר פשרה, ובמסגרתו שילמה הרד מיליון דולר.</w:t>
      </w:r>
    </w:p>
    <w:p>
      <w:pPr>
        <w:bidi/>
        <w:spacing w:after="120" w:line="360" w:lineRule="auto"/>
        <w:jc w:val="both"/>
      </w:pPr>
      <w:r>
        <w:rPr>
          <w:rFonts w:ascii="Times New Roman" w:cs="David" w:eastAsia="David" w:hAnsi="Times New Roman"/>
          <w:b w:val="false"/>
          <w:i w:val="false"/>
          <w:sz w:val="24"/>
          <w:szCs w:val="24"/>
          <w:rtl/>
        </w:rPr>
        <w:t xml:space="preserve">ההיקף התקשורתי של הפרשה היה חסר תקדים. נלסון (Nelson, 2025) מתארת את המשפט כמשפט הסלבריטאים רחב ההיקף הראשון של עידן הסטרימינג, ומציינת כי רשת Court TV קיבלה היתר לצלם את הדיונים לאחר שהשופטת קבעה כי ההגנות הנהוגות כלפי נפגעי עבירות מין אינן חלות בהליך אזרחי. לדבריה, ערוץ היוטיוב של Law and Crime Network היה זירת הצפייה הפופולרית ביותר, והגיע ביום הכרעת הדין לשיא של 3.5 מיליון צופים במקביל, כשכ-65 אחוזים מהם נמצאו מחוץ לארצות הברית. נלסון מוסיפה שריבוי המצלמות והזוויות אפשר מעקב צמוד אחר הבעות פנים ותגובות של המשתתפים, וכך הוזמנו הצופים לבחון כל פרט שהתרחש באולם. במקביל התפתח שיח רשתי עצום, שאותו היא בוחנת דרך מאגר של קרוב ל-113 אלף ציוצים, ובו נוצרו ממים, תיאוריות וכותרות שהופצו בטיקטוק, ביוטיוב ובטוויץ'. הנתונים האלה מספקים את התשתית העובדתית לשאלה שבמוקד העבודה.</w:t>
      </w:r>
    </w:p>
    <w:p>
      <w:pPr>
        <w:pageBreakBefore/>
        <w:bidi/>
        <w:spacing w:after="240" w:line="360" w:lineRule="auto"/>
        <w:jc w:val="start"/>
      </w:pPr>
      <w:r>
        <w:rPr>
          <w:rFonts w:ascii="Times New Roman" w:cs="David" w:eastAsia="David" w:hAnsi="Times New Roman"/>
          <w:b/>
          <w:bCs/>
          <w:i w:val="false"/>
          <w:sz w:val="32"/>
          <w:szCs w:val="32"/>
          <w:rtl/>
        </w:rPr>
        <w:t xml:space="preserve">מתודולוגיה</w:t>
      </w:r>
    </w:p>
    <w:p>
      <w:pPr>
        <w:bidi/>
        <w:spacing w:after="120" w:line="360" w:lineRule="auto"/>
        <w:jc w:val="both"/>
      </w:pPr>
      <w:r>
        <w:rPr>
          <w:rFonts w:ascii="Times New Roman" w:cs="David" w:eastAsia="David" w:hAnsi="Times New Roman"/>
          <w:b w:val="false"/>
          <w:i w:val="false"/>
          <w:sz w:val="24"/>
          <w:szCs w:val="24"/>
          <w:rtl/>
        </w:rPr>
        <w:t xml:space="preserve">מטרת המחקר היא לבחון כיצד נבנתה, במהלך השידור החי של משפט דפ נגד הרד, קהילת צופים שהתנהגה כחבר מושבעים לכל דבר: עקבה אחר הראיות בזמן אמת, גיבשה עמדה, והכריזה על מנצח עוד לפני שהוכרז פסק הדין. הבחירה במקרה הזה נובעת משילוב נדיר של שלושה תנאים: הליך משפטי ששודר במלואו ובאופן רציף, פלטפורמה ויראלית שאפשרה תגובה מיידית והמונית, ותיק שבמרכזו סלבריטאים המוכרים לקהל מראש. הצטלבות התנאים הזאת הופכת את הפרשה למקרה בוחן מובהק לשאלה מה קורה למוסד המושבעים כאשר הציבור צופה באותו חומר ראיות עצמו ומכריע במקביל.</w:t>
      </w:r>
    </w:p>
    <w:p>
      <w:pPr>
        <w:bidi/>
        <w:spacing w:after="120" w:line="360" w:lineRule="auto"/>
        <w:jc w:val="both"/>
      </w:pPr>
      <w:r>
        <w:rPr>
          <w:rFonts w:ascii="Times New Roman" w:cs="David" w:eastAsia="David" w:hAnsi="Times New Roman"/>
          <w:b w:val="false"/>
          <w:i w:val="false"/>
          <w:sz w:val="24"/>
          <w:szCs w:val="24"/>
          <w:rtl/>
        </w:rPr>
        <w:t xml:space="preserve">המחקר הוא מחקר איכותני בגישה פרשנית, המבקש להבין את המשמעויות שהתקבעו סביב המשפט ולא למדוד את היקפן. שיטת המחקר היא ניתוח תוכן איכותני של שני גופי טקסט מקבילים. הגוף הראשון הוא ההקלטות של השידור החי מן האולם, והגוף השני הוא סרטוני טיקטוק שפורסמו בתקופת המשפט תחת התגיות המרכזיות שלו. הניתוח ייערך על שני מקטעים נבחרים מן המשפט, אחד מעדותו של דפ ואחד מעדותה של הרד, ולכל מקטע ייבחן גם השיח שהתפתח סביבו ברשת באותם ימים. הבחירה בשני מקטעים ולא באירוע יחיד נועדה לאפשר השוואה בין האופן שבו מטופלים שני הצדדים.</w:t>
      </w:r>
    </w:p>
    <w:p>
      <w:pPr>
        <w:bidi/>
        <w:spacing w:after="120" w:line="360" w:lineRule="auto"/>
        <w:jc w:val="both"/>
      </w:pPr>
      <w:r>
        <w:rPr>
          <w:rFonts w:ascii="Times New Roman" w:cs="David" w:eastAsia="David" w:hAnsi="Times New Roman"/>
          <w:b w:val="false"/>
          <w:i w:val="false"/>
          <w:sz w:val="24"/>
          <w:szCs w:val="24"/>
          <w:rtl/>
        </w:rPr>
        <w:t xml:space="preserve">לצורך הניתוח ייבנו קטגוריות המבוססות על סקירת הספרות: מאפייני החיות והמתח בשידור (גורביץ' וערב, 2012; Couldry, 2004), אופני ההכרעה המוקדמת ואופן ההצדקה שלה, והיחס בין השיח הרשתי לבין הראיות שהוצגו בפועל באולם. שיטה זו מאפשרת לבחון לא רק מה נאמר ברשת אלא גם באיזו מידה הוא נאמן למה שהתרחש בשידור. מגבלותיה ידועות: מדובר במקרה יחיד, בבחירה מכוונת של מקטעים ובפרשנות של החוקרת, ולכן אין בה כדי לבסס הכללה סטטיסטית. עם זאת, דווקא ניתוח מעמיק של מקרה קיצון מאפשר לחשוף מנגנון תרבותי שקשה לזהות במקרים שגרתיים.</w:t>
      </w:r>
    </w:p>
    <w:p>
      <w:pPr>
        <w:pageBreakBefore/>
        <w:bidi/>
        <w:spacing w:after="240" w:line="360" w:lineRule="auto"/>
        <w:jc w:val="start"/>
      </w:pPr>
      <w:r>
        <w:rPr>
          <w:rFonts w:ascii="Times New Roman" w:cs="David" w:eastAsia="David" w:hAnsi="Times New Roman"/>
          <w:b/>
          <w:bCs/>
          <w:i w:val="false"/>
          <w:sz w:val="32"/>
          <w:szCs w:val="32"/>
          <w:rtl/>
        </w:rPr>
        <w:t xml:space="preserve">רשימת מקורות</w:t>
      </w:r>
    </w:p>
    <w:p>
      <w:pPr>
        <w:bidi/>
        <w:spacing w:after="180" w:line="360" w:lineRule="auto"/>
        <w:ind w:left="709" w:hanging="709"/>
        <w:jc w:val="start"/>
      </w:pPr>
      <w:r>
        <w:rPr>
          <w:rFonts w:ascii="Times New Roman" w:cs="David" w:eastAsia="David" w:hAnsi="Times New Roman"/>
          <w:b w:val="false"/>
          <w:i w:val="false"/>
          <w:sz w:val="24"/>
          <w:szCs w:val="24"/>
          <w:rtl/>
        </w:rPr>
        <w:t xml:space="preserve">גורביץ', ד', וערב, ד' (2012). שידור חי. בתוך </w:t>
      </w:r>
      <w:r>
        <w:rPr>
          <w:rFonts w:ascii="Times New Roman" w:cs="David" w:eastAsia="David" w:hAnsi="Times New Roman"/>
          <w:b w:val="false"/>
          <w:i/>
          <w:iCs/>
          <w:sz w:val="24"/>
          <w:szCs w:val="24"/>
          <w:rtl/>
        </w:rPr>
        <w:t xml:space="preserve">אנציקלופדיה של הרעיונות: תרבות, מחשבה, תקשורת</w:t>
      </w:r>
      <w:r>
        <w:rPr>
          <w:rFonts w:ascii="Times New Roman" w:cs="David" w:eastAsia="David" w:hAnsi="Times New Roman"/>
          <w:b w:val="false"/>
          <w:i w:val="false"/>
          <w:sz w:val="24"/>
          <w:szCs w:val="24"/>
          <w:rtl/>
        </w:rPr>
        <w:t xml:space="preserve">. בבל.</w:t>
      </w:r>
    </w:p>
    <w:p>
      <w:pPr>
        <w:bidi w:val="false"/>
        <w:spacing w:after="180" w:line="360" w:lineRule="auto"/>
        <w:ind w:left="709"/>
        <w:jc w:val="left"/>
      </w:pPr>
      <w:hyperlink w:history="1" r:id="rIdpmkbiq9dwqv0kj2d4mmng">
        <w:r>
          <w:rPr>
            <w:rStyle w:val="Hyperlink"/>
            <w:rFonts w:ascii="Times New Roman" w:cs="Times New Roman" w:eastAsia="Times New Roman" w:hAnsi="Times New Roman"/>
            <w:sz w:val="22"/>
            <w:szCs w:val="22"/>
          </w:rPr>
          <w:t xml:space="preserve">https://haraayonot.com/idea/live/</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Couldry, N. (2004). Liveness, "reality," and the mediated habitus from television to the mobile phone. </w:t>
      </w:r>
      <w:r>
        <w:rPr>
          <w:rFonts w:ascii="Times New Roman" w:cs="Times New Roman" w:eastAsia="Times New Roman" w:hAnsi="Times New Roman"/>
          <w:b w:val="false"/>
          <w:i/>
          <w:iCs/>
          <w:sz w:val="24"/>
          <w:szCs w:val="24"/>
          <w:rtl w:val="false"/>
        </w:rPr>
        <w:t xml:space="preserve">The Communication Review, 7</w:t>
      </w:r>
      <w:r>
        <w:rPr>
          <w:rFonts w:ascii="Times New Roman" w:cs="Times New Roman" w:eastAsia="Times New Roman" w:hAnsi="Times New Roman"/>
          <w:b w:val="false"/>
          <w:i w:val="false"/>
          <w:sz w:val="24"/>
          <w:szCs w:val="24"/>
          <w:rtl w:val="false"/>
        </w:rPr>
        <w:t xml:space="preserve">(4), 353-361.</w:t>
      </w:r>
    </w:p>
    <w:p>
      <w:pPr>
        <w:bidi w:val="false"/>
        <w:spacing w:after="180" w:line="360" w:lineRule="auto"/>
        <w:ind w:left="709"/>
        <w:jc w:val="left"/>
      </w:pPr>
      <w:hyperlink w:history="1" r:id="rIdq4_n8yyianrcbj1svpzfa">
        <w:r>
          <w:rPr>
            <w:rStyle w:val="Hyperlink"/>
            <w:rFonts w:ascii="Times New Roman" w:cs="Times New Roman" w:eastAsia="Times New Roman" w:hAnsi="Times New Roman"/>
            <w:sz w:val="22"/>
            <w:szCs w:val="22"/>
          </w:rPr>
          <w:t xml:space="preserve">https://eprints.lse.ac.uk/52423/1/Couldry_Liveness_reality_mediated_2004.pdf</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Depp v. Heard. (2026). In </w:t>
      </w:r>
      <w:r>
        <w:rPr>
          <w:rFonts w:ascii="Times New Roman" w:cs="Times New Roman" w:eastAsia="Times New Roman" w:hAnsi="Times New Roman"/>
          <w:b w:val="false"/>
          <w:i/>
          <w:iCs/>
          <w:sz w:val="24"/>
          <w:szCs w:val="24"/>
          <w:rtl w:val="false"/>
        </w:rPr>
        <w:t xml:space="preserve">Wikipedia</w:t>
      </w:r>
      <w:r>
        <w:rPr>
          <w:rFonts w:ascii="Times New Roman" w:cs="Times New Roman" w:eastAsia="Times New Roman" w:hAnsi="Times New Roman"/>
          <w:b w:val="false"/>
          <w:i w:val="false"/>
          <w:sz w:val="24"/>
          <w:szCs w:val="24"/>
          <w:rtl w:val="false"/>
        </w:rPr>
        <w:t xml:space="preserve">. Retrieved August 1, 2026.</w:t>
      </w:r>
    </w:p>
    <w:p>
      <w:pPr>
        <w:bidi w:val="false"/>
        <w:spacing w:after="180" w:line="360" w:lineRule="auto"/>
        <w:ind w:left="709"/>
        <w:jc w:val="left"/>
      </w:pPr>
      <w:hyperlink w:history="1" r:id="rIddbovhuflp6orprbmz1ba6">
        <w:r>
          <w:rPr>
            <w:rStyle w:val="Hyperlink"/>
            <w:rFonts w:ascii="Times New Roman" w:cs="Times New Roman" w:eastAsia="Times New Roman" w:hAnsi="Times New Roman"/>
            <w:sz w:val="22"/>
            <w:szCs w:val="22"/>
          </w:rPr>
          <w:t xml:space="preserve">https://en.wikipedia.org/wiki/Depp_v._Heard</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Das, C. A., Aston, J., &amp; Rigby, H. (2025). #australianjury#socialmedia: Natural justice on trial. </w:t>
      </w:r>
      <w:r>
        <w:rPr>
          <w:rFonts w:ascii="Times New Roman" w:cs="Times New Roman" w:eastAsia="Times New Roman" w:hAnsi="Times New Roman"/>
          <w:b w:val="false"/>
          <w:i/>
          <w:iCs/>
          <w:sz w:val="24"/>
          <w:szCs w:val="24"/>
          <w:rtl w:val="false"/>
        </w:rPr>
        <w:t xml:space="preserve">University of Western Australia Law Review, 53</w:t>
      </w:r>
      <w:r>
        <w:rPr>
          <w:rFonts w:ascii="Times New Roman" w:cs="Times New Roman" w:eastAsia="Times New Roman" w:hAnsi="Times New Roman"/>
          <w:b w:val="false"/>
          <w:i w:val="false"/>
          <w:sz w:val="24"/>
          <w:szCs w:val="24"/>
          <w:rtl w:val="false"/>
        </w:rPr>
        <w:t xml:space="preserve">(1), 220-239.</w:t>
      </w:r>
    </w:p>
    <w:p>
      <w:pPr>
        <w:bidi w:val="false"/>
        <w:spacing w:after="180" w:line="360" w:lineRule="auto"/>
        <w:ind w:left="709"/>
        <w:jc w:val="left"/>
      </w:pPr>
      <w:hyperlink w:history="1" r:id="rIdbyr_otqkiihfhyxfkx1bh">
        <w:r>
          <w:rPr>
            <w:rStyle w:val="Hyperlink"/>
            <w:rFonts w:ascii="Times New Roman" w:cs="Times New Roman" w:eastAsia="Times New Roman" w:hAnsi="Times New Roman"/>
            <w:sz w:val="22"/>
            <w:szCs w:val="22"/>
          </w:rPr>
          <w:t xml:space="preserve">https://www.austlii.edu.au/au/journals/UWALawRw/2025/11.pdf</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Meringolo, J. C. (2011). The media, the jury, and the high-profile defendant: A defense perspective on the media circus. </w:t>
      </w:r>
      <w:r>
        <w:rPr>
          <w:rFonts w:ascii="Times New Roman" w:cs="Times New Roman" w:eastAsia="Times New Roman" w:hAnsi="Times New Roman"/>
          <w:b w:val="false"/>
          <w:i/>
          <w:iCs/>
          <w:sz w:val="24"/>
          <w:szCs w:val="24"/>
          <w:rtl w:val="false"/>
        </w:rPr>
        <w:t xml:space="preserve">New York Law School Law Review, 55</w:t>
      </w:r>
      <w:r>
        <w:rPr>
          <w:rFonts w:ascii="Times New Roman" w:cs="Times New Roman" w:eastAsia="Times New Roman" w:hAnsi="Times New Roman"/>
          <w:b w:val="false"/>
          <w:i w:val="false"/>
          <w:sz w:val="24"/>
          <w:szCs w:val="24"/>
          <w:rtl w:val="false"/>
        </w:rPr>
        <w:t xml:space="preserve">(4), 981-1012.</w:t>
      </w:r>
    </w:p>
    <w:p>
      <w:pPr>
        <w:bidi w:val="false"/>
        <w:spacing w:after="180" w:line="360" w:lineRule="auto"/>
        <w:ind w:left="709"/>
        <w:jc w:val="left"/>
      </w:pPr>
      <w:hyperlink w:history="1" r:id="rIdub2fswpgmyfaq2f9ffr-3">
        <w:r>
          <w:rPr>
            <w:rStyle w:val="Hyperlink"/>
            <w:rFonts w:ascii="Times New Roman" w:cs="Times New Roman" w:eastAsia="Times New Roman" w:hAnsi="Times New Roman"/>
            <w:sz w:val="22"/>
            <w:szCs w:val="22"/>
          </w:rPr>
          <w:t xml:space="preserve">https://digitalcommons.nyls.edu/nyls_law_review/vol55/iss4/3</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Nelson, C. (2025). "A public orgy of misogyny": Gender, power, media, and legal spectacle in Depp v Heard. </w:t>
      </w:r>
      <w:r>
        <w:rPr>
          <w:rFonts w:ascii="Times New Roman" w:cs="Times New Roman" w:eastAsia="Times New Roman" w:hAnsi="Times New Roman"/>
          <w:b w:val="false"/>
          <w:i/>
          <w:iCs/>
          <w:sz w:val="24"/>
          <w:szCs w:val="24"/>
          <w:rtl w:val="false"/>
        </w:rPr>
        <w:t xml:space="preserve">Feminist Media Studies, 25</w:t>
      </w:r>
      <w:r>
        <w:rPr>
          <w:rFonts w:ascii="Times New Roman" w:cs="Times New Roman" w:eastAsia="Times New Roman" w:hAnsi="Times New Roman"/>
          <w:b w:val="false"/>
          <w:i w:val="false"/>
          <w:sz w:val="24"/>
          <w:szCs w:val="24"/>
          <w:rtl w:val="false"/>
        </w:rPr>
        <w:t xml:space="preserve">(2), 233-249.</w:t>
      </w:r>
    </w:p>
    <w:p>
      <w:pPr>
        <w:bidi w:val="false"/>
        <w:spacing w:after="180" w:line="360" w:lineRule="auto"/>
        <w:ind w:left="709"/>
        <w:jc w:val="left"/>
      </w:pPr>
      <w:hyperlink w:history="1" r:id="rIdu5s5o1f5cm0akbjjqi44x">
        <w:r>
          <w:rPr>
            <w:rStyle w:val="Hyperlink"/>
            <w:rFonts w:ascii="Times New Roman" w:cs="Times New Roman" w:eastAsia="Times New Roman" w:hAnsi="Times New Roman"/>
            <w:sz w:val="22"/>
            <w:szCs w:val="22"/>
          </w:rPr>
          <w:t xml:space="preserve">https://researchonline.nd.edu.au/arts_article/190/</w:t>
        </w:r>
      </w:hyperlink>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van Es, K. (2017). Liveness redux: On media and their claim to be live. </w:t>
      </w:r>
      <w:r>
        <w:rPr>
          <w:rFonts w:ascii="Times New Roman" w:cs="Times New Roman" w:eastAsia="Times New Roman" w:hAnsi="Times New Roman"/>
          <w:b w:val="false"/>
          <w:i/>
          <w:iCs/>
          <w:sz w:val="24"/>
          <w:szCs w:val="24"/>
          <w:rtl w:val="false"/>
        </w:rPr>
        <w:t xml:space="preserve">Media, Culture &amp; Society, 39</w:t>
      </w:r>
      <w:r>
        <w:rPr>
          <w:rFonts w:ascii="Times New Roman" w:cs="Times New Roman" w:eastAsia="Times New Roman" w:hAnsi="Times New Roman"/>
          <w:b w:val="false"/>
          <w:i w:val="false"/>
          <w:sz w:val="24"/>
          <w:szCs w:val="24"/>
          <w:rtl w:val="false"/>
        </w:rPr>
        <w:t xml:space="preserve">(8), 1245-1256.</w:t>
      </w:r>
    </w:p>
    <w:p>
      <w:pPr>
        <w:bidi w:val="false"/>
        <w:spacing w:after="180" w:line="360" w:lineRule="auto"/>
        <w:ind w:left="709"/>
        <w:jc w:val="left"/>
      </w:pPr>
      <w:hyperlink w:history="1" r:id="rIdea-cfy9ckekgo_dgqe3ha">
        <w:r>
          <w:rPr>
            <w:rStyle w:val="Hyperlink"/>
            <w:rFonts w:ascii="Times New Roman" w:cs="Times New Roman" w:eastAsia="Times New Roman" w:hAnsi="Times New Roman"/>
            <w:sz w:val="22"/>
            <w:szCs w:val="22"/>
          </w:rPr>
          <w:t xml:space="preserve">https://pmc.ncbi.nlm.nih.gov/articles/PMC5732612/</w:t>
        </w:r>
      </w:hyperlink>
    </w:p>
    <w:sectPr>
      <w:headerReference w:type="default" r:id="rId7"/>
      <w:head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pmkbiq9dwqv0kj2d4mmng" Type="http://schemas.openxmlformats.org/officeDocument/2006/relationships/hyperlink" Target="https://haraayonot.com/idea/live/" TargetMode="External"/><Relationship Id="rIdq4_n8yyianrcbj1svpzfa" Type="http://schemas.openxmlformats.org/officeDocument/2006/relationships/hyperlink" Target="https://eprints.lse.ac.uk/52423/1/Couldry_Liveness_reality_mediated_2004.pdf" TargetMode="External"/><Relationship Id="rIddbovhuflp6orprbmz1ba6" Type="http://schemas.openxmlformats.org/officeDocument/2006/relationships/hyperlink" Target="https://en.wikipedia.org/wiki/Depp_v._Heard" TargetMode="External"/><Relationship Id="rIdbyr_otqkiihfhyxfkx1bh" Type="http://schemas.openxmlformats.org/officeDocument/2006/relationships/hyperlink" Target="https://www.austlii.edu.au/au/journals/UWALawRw/2025/11.pdf" TargetMode="External"/><Relationship Id="rIdub2fswpgmyfaq2f9ffr-3" Type="http://schemas.openxmlformats.org/officeDocument/2006/relationships/hyperlink" Target="https://digitalcommons.nyls.edu/nyls_law_review/vol55/iss4/3" TargetMode="External"/><Relationship Id="rIdu5s5o1f5cm0akbjjqi44x" Type="http://schemas.openxmlformats.org/officeDocument/2006/relationships/hyperlink" Target="https://researchonline.nd.edu.au/arts_article/190/" TargetMode="External"/><Relationship Id="rIdea-cfy9ckekgo_dgqe3ha" Type="http://schemas.openxmlformats.org/officeDocument/2006/relationships/hyperlink" Target="https://pmc.ncbi.nlm.nih.gov/articles/PMC5732612/"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חבר המושבעים של הטיקטוק: השידור החי של משפט דפ נגד הרד והכרעת הקהל</dc:title>
  <dc:creator>______________</dc:creator>
  <cp:lastModifiedBy>Un-named</cp:lastModifiedBy>
  <cp:revision>1</cp:revision>
  <dcterms:created xsi:type="dcterms:W3CDTF">2026-08-01T19:45:06.930Z</dcterms:created>
  <dcterms:modified xsi:type="dcterms:W3CDTF">2026-08-01T19:45:06.930Z</dcterms:modified>
</cp:coreProperties>
</file>

<file path=docProps/custom.xml><?xml version="1.0" encoding="utf-8"?>
<Properties xmlns="http://schemas.openxmlformats.org/officeDocument/2006/custom-properties" xmlns:vt="http://schemas.openxmlformats.org/officeDocument/2006/docPropsVTypes"/>
</file>