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עבד אלהאדי</w:t>
      </w:r>
    </w:p>
    <w:p>
      <w:pPr>
        <w:bidi w:val="1"/>
        <w:spacing w:line="360" w:lineRule="auto" w:after="120"/>
        <w:jc w:val="center"/>
      </w:pPr>
      <w:r>
        <w:rPr>
          <w:rFonts w:ascii="David" w:hAnsi="David" w:cs="David"/>
          <w:b w:val="0"/>
          <w:i w:val="0"/>
          <w:sz w:val="26"/>
          <w:szCs w:val="26"/>
          <w:rtl w:val="1"/>
        </w:rPr>
        <w:t>ת.ז: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אם אנחנו מנסות לזקק מה למדנו יחד, הדבר הראשון הוא ששתינו הגענו לקורס עם אותה הנחה מוטעית, שכל תפקידנו הוא לשמור. במהלך המפגשים הבנו ששמירה לבדה מפספסת את העיקר, משום שהסיכון איננו תכונה של האדם עם המוגבלות אלא תוצר של סביבה לא מותאמת ושל תלות. את המסקנה הזאת גיבשנו כל אחת מכיוון אחר, וזה מה שהפך אותה לחזקה יותר.</w:t>
      </w:r>
    </w:p>
    <w:p>
      <w:pPr>
        <w:bidi w:val="1"/>
        <w:spacing w:line="360" w:lineRule="auto" w:after="160"/>
        <w:jc w:val="both"/>
      </w:pPr>
      <w:r>
        <w:rPr>
          <w:rFonts w:ascii="David" w:hAnsi="David" w:cs="David"/>
          <w:b w:val="0"/>
          <w:i w:val="0"/>
          <w:sz w:val="24"/>
          <w:szCs w:val="24"/>
          <w:rtl w:val="1"/>
        </w:rPr>
        <w:t>העבודה המשותפת שלנו על "זה הילד שלי" ועל מעון בני ציון המחישה זאת היטב. מרים בחנה את המקרה דרך המתח בין הגנה לאוטונומיה, ואני דרך הזווית המגדרית והשתיקה של הקורבן ה"שקוף", אבל הגענו לאותה הבנה. דווקא המסגרת הסגורה, זו שאין בה בחירה ואין בה מבט מבחוץ, היא שאפשרה את הפגיעה להימשך לאורך זמן.</w:t>
      </w:r>
    </w:p>
    <w:p>
      <w:pPr>
        <w:bidi w:val="1"/>
        <w:spacing w:line="360" w:lineRule="auto" w:after="160"/>
        <w:jc w:val="both"/>
      </w:pPr>
      <w:r>
        <w:rPr>
          <w:rFonts w:ascii="David" w:hAnsi="David" w:cs="David"/>
          <w:b w:val="0"/>
          <w:i w:val="0"/>
          <w:sz w:val="24"/>
          <w:szCs w:val="24"/>
          <w:rtl w:val="1"/>
        </w:rPr>
        <w:t>מכאן נגזרת תובנה שאנחנו לוקחות איתנו, שאסור להסתפק בתשובה הנוחה. הגנה שמשתיקה קול הופכת למקור סיכון בפני עצמה, בין שמדובר באדם על הרצף ובין שמדובר בנערה שלא מקשיבים לה. השאלה שאנחנו שואלות עכשיו איננה כיצד לשמור על האדם, אלא כיצד לצייד אותו בכלים לשמור על עצמו.</w:t>
      </w:r>
    </w:p>
    <w:p>
      <w:pPr>
        <w:bidi w:val="1"/>
        <w:spacing w:line="360" w:lineRule="auto" w:after="160"/>
        <w:jc w:val="both"/>
      </w:pPr>
      <w:r>
        <w:rPr>
          <w:rFonts w:ascii="David" w:hAnsi="David" w:cs="David"/>
          <w:b w:val="0"/>
          <w:i w:val="0"/>
          <w:sz w:val="24"/>
          <w:szCs w:val="24"/>
          <w:rtl w:val="1"/>
        </w:rPr>
        <w:t>בסופו של דבר, גם הדרך שבה עבדנו לימדה אותנו. חיבור של שתי נקודות מבט הראה לנו את מה שכל אחת לבדה הייתה מחמיצה. אנחנו מסיימות את הקורס עם יותר ספקות מתשובות, ועם מחויבות משותפת לתת תשומת לב דווקא למי שהמערכת נוטה לא לראות.</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המענה הזה מקבל ביטוי מוסדי גם בישראל. מחקר עדכני שבחן את יישום תיקון 18 לחוק הכשרות המשפטית מצא שלמרות הכוונה לצמצם את השימוש באפוטרופסות ולקדם קבלת החלטות נתמכת, נותר פער בין חזון הרפורמה לבין הפרקטיקה, ושעובדות סוציאליות עדיין נשענות על תפיסות של אבחון, רמת תפקוד ורצון בבואן להמליץ. עבור נשים עם מוגבלות למהלך הזה משמעות ישירה, משום שצמצום התלות המשפטית והחזרת הקול לאישה עצמה הם בדיוק מה שמפרק את מבנה הכוח שאיפשר את הפגיעה מלכתחילה (הולר וורנר, 2025).</w:t>
      </w:r>
    </w:p>
    <w:p>
      <w:pPr>
        <w:bidi w:val="1"/>
        <w:spacing w:line="360" w:lineRule="auto" w:after="160"/>
        <w:jc w:val="both"/>
      </w:pPr>
      <w:r>
        <w:rPr>
          <w:rFonts w:ascii="David" w:hAnsi="David" w:cs="David"/>
          <w:b w:val="0"/>
          <w:i w:val="0"/>
          <w:sz w:val="24"/>
          <w:szCs w:val="24"/>
          <w:rtl w:val="1"/>
        </w:rPr>
        <w:t>נדבך אחרון נוגע ליכולת שלנו לשמוע. גם השתיקה של אישה עם מוגבלות, או התנהגות שנתפסת כ"בעייתית", היא לעיתים האופן היחיד שבו היא מסמנת שמשהו אינו כשורה.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ולא השתקה. העיקרון הזה חורג מעבר לאוטיזם, ותקף לכל מי שהקול המילולי שלו נחלש. לראות בהתנהגות ובשתיקה סימן ולא הפרעה הוא תנאי לזיהוי מוקדם של פגיעה (רודריגז ברנע, 2025).</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524838011426014" TargetMode="External"/><Relationship Id="rId14"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