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הדר פוקס</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נושא עבודת הסמינריון, כפי שאושר על ידי מרצה הסמינריון בקורס "המשפט כתרבות פופולרית", הוא ניתוח אוטואתנוגרפי של תביעת עבודה, תוך התמקדות בפער שבין ייצוגי המשפט והצדק בתרבות הפופולרית לבין המציאות של ההליך, הסחבת והגבייה. שאלת המחקר: כיצד משתקף הפער בין הבניית "עשיית הצדק" בתרבות הפופולרית לבין מציאות הגבייה ויחסי הכוח בתביעות עבודה? ניתוח מקרה בוחן אישי.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(Sandefur, 2019) - מאמר אקדמי מכתב עת. אותר במנוע החיפוש Google Scholar באמצעות מילות החיפוש והאופרטורים: "access to justice" AND "legal aid" AND inequality.</w:t>
      </w:r>
    </w:p>
    <w:p>
      <w:pPr>
        <w:bidi/>
        <w:spacing w:after="120" w:line="360" w:lineRule="auto"/>
        <w:jc w:val="both"/>
      </w:pPr>
      <w:r>
        <w:rPr>
          <w:rFonts w:ascii="Times New Roman" w:cs="David" w:eastAsia="David" w:hAnsi="Times New Roman"/>
          <w:b w:val="false"/>
          <w:i w:val="false"/>
          <w:sz w:val="24"/>
          <w:szCs w:val="24"/>
          <w:rtl/>
        </w:rPr>
        <w:t xml:space="preserve">(Rabinovich-Einy &amp; Katsh, 2017) - ספר אקדמי. אותר בקטלוג הספרייה ובמאגר Oxford Academic באמצעות מילות החיפוש: "online dispute resolution" AND "access to justice".</w:t>
      </w:r>
    </w:p>
    <w:p>
      <w:pPr>
        <w:bidi/>
        <w:spacing w:after="120" w:line="360" w:lineRule="auto"/>
        <w:jc w:val="both"/>
      </w:pPr>
      <w:r>
        <w:rPr>
          <w:rFonts w:ascii="Times New Roman" w:cs="David" w:eastAsia="David" w:hAnsi="Times New Roman"/>
          <w:b w:val="false"/>
          <w:i w:val="false"/>
          <w:sz w:val="24"/>
          <w:szCs w:val="24"/>
          <w:rtl/>
        </w:rPr>
        <w:t xml:space="preserve">(Chua &amp; Engel, 2019) - מאמר אקדמי מכתב עת. אותר במאגר Annual Reviews באמצעות מילות החיפוש: "legal consciousness" AND (courts OR litigants).</w:t>
      </w:r>
    </w:p>
    <w:p>
      <w:pPr>
        <w:bidi/>
        <w:spacing w:after="240" w:line="360" w:lineRule="auto"/>
        <w:jc w:val="start"/>
      </w:pPr>
      <w:r>
        <w:rPr>
          <w:rFonts w:ascii="Times New Roman" w:cs="David" w:eastAsia="David" w:hAnsi="Times New Roman"/>
          <w:b/>
          <w:bCs/>
          <w:i w:val="false"/>
          <w:sz w:val="32"/>
          <w:szCs w:val="32"/>
          <w:rtl/>
        </w:rPr>
        <w:t xml:space="preserve">3. ראש הפרק: הייצוג מטעם המדינה ונגישות לצדק</w:t>
      </w:r>
    </w:p>
    <w:p>
      <w:pPr>
        <w:bidi/>
        <w:spacing w:after="120" w:line="360" w:lineRule="auto"/>
        <w:jc w:val="both"/>
      </w:pPr>
      <w:r>
        <w:rPr>
          <w:rFonts w:ascii="Times New Roman" w:cs="David" w:eastAsia="David" w:hAnsi="Times New Roman"/>
          <w:b w:val="false"/>
          <w:i w:val="false"/>
          <w:sz w:val="24"/>
          <w:szCs w:val="24"/>
          <w:rtl/>
        </w:rPr>
        <w:t xml:space="preserve">ראש פרק זה עוסק בנגישות לצדק ובייצוג המשפטי הניתן מטעם המדינה למי שידם אינה משגת. נקודת המוצא היא שזכות הגישה לערכאות נותרת ריקה כאשר מימושה תלוי במשאבים שאין לתובע. הטענה המרכזית של הפרק היא שנגישות לצדק אינה מסתכמת בהעמדת עורך דין, אלא תלויה באופן שבו המוסדות עצמם בנויים ובאופן שבו בעלי הדין תופסים אותם. מן הטענה הזאת נגזר שגם מי שקיבל ייצוג ציבורי עשוי לחוות חסמים של זמן, ידע ותודעה. הפרק נשען על שלושה מקורות עדכניים הבוחנים את הנגישות משלושה כיוונים משלימים: היקף הבעיה, עיצוב המוסדות ותודעת המשתמשים. הדיון בהם יניח את התשתית לניתוח חוויית הייצוג במקרה הבוחן של העבודה.</w:t>
      </w:r>
    </w:p>
    <w:p>
      <w:pPr>
        <w:bidi/>
        <w:spacing w:after="120" w:line="360" w:lineRule="auto"/>
        <w:jc w:val="both"/>
      </w:pPr>
      <w:r>
        <w:rPr>
          <w:rFonts w:ascii="Times New Roman" w:cs="David" w:eastAsia="David" w:hAnsi="Times New Roman"/>
          <w:b w:val="false"/>
          <w:i w:val="false"/>
          <w:sz w:val="24"/>
          <w:szCs w:val="24"/>
          <w:rtl/>
        </w:rPr>
        <w:t xml:space="preserve">סנדפור (Sandefur, 2019) בוחנת את משבר הנגישות לצדק בארצות הברית ומציעה לו אבחנה מפתיעה. לטענתה, הבעיה המרכזית אינה מחסור בעורכי דין או במימון הייצוג, כפי שנהוג להניח. מרבית האנשים המתמודדים עם בעיות בעלות אופי משפטי כלל אינם מזהים אותן ככאלה, ולכן אינם פונים לעזרה משפטית מלכתחילה. גם כאשר הם פונים, המוסדות בנויים סביב צורכיהם של אנשי המקצוע ולא סביב יכולותיהם של המשתמשים ההדיוטות. מכאן שהפתרון אינו רק תוספת של עורכי דין, אלא עיצוב מחדש של הדרכים שבהן המערכת נפגשת עם הציבור. המסקנה חשובה לענייננו: ייצוג ציבורי הוא תנאי הכרחי אך לא מספיק לנגישות ממשית לצדק.</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מפתחים את הכיוון הזה משני עברים שונים, המוסדי והתודעתי. רבינוביץ'-איני וקאטש (Rabinovich-Einy &amp; Katsh, 2017) מתמקדים בעיצוב המוסדי ומראים כיצד טכנולוגיות ליישוב סכסוכים מקוון עשויות להנגיש הליכים דווקא לבעלי דין קטנים, שהמערכת המסורתית יקרה ואיטית מדי עבורם. מנגד, צ'ואה ואנגל (Chua &amp; Engel, 2019) סוקרים את מחקר התודעה המשפטית ומדגישים שהנכונות לפנות למשפט תלויה באמונות, ברגשות ובניסיון קודם לא פחות מאשר בזמינותם של שירותים. המשותף לשניים הוא הסטת המבט מן השאלה מי מייצג אל השאלה כיצד המערכת נחווית. מהשוואתם עולה שהנגישות מתעצבת בשני מפגשים: בין האזרח למוסד, ובין האזרח לדימוי שיש לו על המוסד. כאשר שני המפגשים האלה מתווכים על ידי מחסור ועומס, הייצוג הציבורי נחווה כברירת מחדל ולא כזכות. כך נסגר המעגל עם טענת הפרק: הנגישות היא תוצר של מבנה ושל תודעה גם יחד.</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שנגישות לצדק צריכה להימדד בחוויית המשתמש, ולא רק בקיומו של ייצוג. שלושת המקורות מצביעים יחד על פער בין הזכות הפורמלית לבין מימושה בפועל. הפער הזה אינו נסגר ברגע שממונה עורך דין מטעם המדינה, והוא מלווה את בעל הדין לכל אורך ההליך. מסקנה זו מובילה ישירות לראש הפרק הבא בסקירת הספרות, שיעסוק במה שמתרחש אחרי ההכרעה השיפוטית. שם ייבחן הפער שבין פסק הדין הכתוב לבין אכיפתו בפועל, המקום שבו הנגישות לצדק עומדת במבחנה האחרון.</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Chua, L. J., &amp; Engel, D. M. (2019). Legal consciousness reconsidered. </w:t>
      </w:r>
      <w:r>
        <w:rPr>
          <w:rFonts w:ascii="Times New Roman" w:cs="Times New Roman" w:eastAsia="Times New Roman" w:hAnsi="Times New Roman"/>
          <w:b w:val="false"/>
          <w:i/>
          <w:iCs/>
          <w:sz w:val="24"/>
          <w:szCs w:val="24"/>
          <w:rtl w:val="false"/>
        </w:rPr>
        <w:t xml:space="preserve">Annual Review of Law and Social Science, 15</w:t>
      </w:r>
      <w:r>
        <w:rPr>
          <w:rFonts w:ascii="Times New Roman" w:cs="Times New Roman" w:eastAsia="Times New Roman" w:hAnsi="Times New Roman"/>
          <w:b w:val="false"/>
          <w:i w:val="false"/>
          <w:sz w:val="24"/>
          <w:szCs w:val="24"/>
          <w:rtl w:val="false"/>
        </w:rPr>
        <w:t xml:space="preserve">, 335-353.</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Rabinovich-Einy, O., &amp; Katsh, E. (2017). </w:t>
      </w:r>
      <w:r>
        <w:rPr>
          <w:rFonts w:ascii="Times New Roman" w:cs="Times New Roman" w:eastAsia="Times New Roman" w:hAnsi="Times New Roman"/>
          <w:b w:val="false"/>
          <w:i/>
          <w:iCs/>
          <w:sz w:val="24"/>
          <w:szCs w:val="24"/>
          <w:rtl w:val="false"/>
        </w:rPr>
        <w:t xml:space="preserve">Digital justice: Technology and the internet of disputes</w:t>
      </w:r>
      <w:r>
        <w:rPr>
          <w:rFonts w:ascii="Times New Roman" w:cs="Times New Roman" w:eastAsia="Times New Roman" w:hAnsi="Times New Roman"/>
          <w:b w:val="false"/>
          <w:i w:val="false"/>
          <w:sz w:val="24"/>
          <w:szCs w:val="24"/>
          <w:rtl w:val="false"/>
        </w:rPr>
        <w:t xml:space="preserve">. Oxford University Press.</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Sandefur, R. L. (2019). Access to what? </w:t>
      </w:r>
      <w:r>
        <w:rPr>
          <w:rFonts w:ascii="Times New Roman" w:cs="Times New Roman" w:eastAsia="Times New Roman" w:hAnsi="Times New Roman"/>
          <w:b w:val="false"/>
          <w:i/>
          <w:iCs/>
          <w:sz w:val="24"/>
          <w:szCs w:val="24"/>
          <w:rtl w:val="false"/>
        </w:rPr>
        <w:t xml:space="preserve">Daedalus, 148</w:t>
      </w:r>
      <w:r>
        <w:rPr>
          <w:rFonts w:ascii="Times New Roman" w:cs="Times New Roman" w:eastAsia="Times New Roman" w:hAnsi="Times New Roman"/>
          <w:b w:val="false"/>
          <w:i w:val="false"/>
          <w:sz w:val="24"/>
          <w:szCs w:val="24"/>
          <w:rtl w:val="false"/>
        </w:rPr>
        <w:t xml:space="preserve">(1), 49-55.</w:t>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הדר פוקס</dc:creator>
  <cp:lastModifiedBy>Un-named</cp:lastModifiedBy>
  <cp:revision>1</cp:revision>
  <dcterms:created xsi:type="dcterms:W3CDTF">2026-08-01T10:03:23.129Z</dcterms:created>
  <dcterms:modified xsi:type="dcterms:W3CDTF">2026-08-01T10:03:23.130Z</dcterms:modified>
</cp:coreProperties>
</file>

<file path=docProps/custom.xml><?xml version="1.0" encoding="utf-8"?>
<Properties xmlns="http://schemas.openxmlformats.org/officeDocument/2006/custom-properties" xmlns:vt="http://schemas.openxmlformats.org/officeDocument/2006/docPropsVTypes"/>
</file>