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400" w:line="360"/>
        <w:jc w:val="center"/>
      </w:pPr>
      <w:r>
        <w:rPr>
          <w:rFonts w:ascii="David" w:cs="David" w:eastAsia="David" w:hAnsi="David"/>
          <w:b/>
          <w:bCs/>
          <w:sz w:val="26"/>
          <w:szCs w:val="26"/>
          <w:rtl/>
        </w:rPr>
        <w:t xml:space="preserve">הגשה למנחה: מבוא ופרק ראשון</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(Herzl, 1899, pp. 1-8).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(אבינרי, 2007, עמ' 84-108; Kornberg, 1993, pp. 183-202).</w:t>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(אטינגר, 1978, עמ' 1-28; Engel, 2009, pp. 30-53).</w:t>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(אבינרי, 2007, עמ' 84-108; Kornberg, 1993, pp. 183-202; Penslar, 2020, pp. 49-70).</w:t>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(אבינרי, 2007, עמ' 15-33; Bein, 1941, pp. 1-40).</w:t>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(Kornberg, 1980, pp. 226-252; Kornberg, 1993, pp. 1-41).</w:t>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(אבינרי, 2007, עמ' 34-56; Elon, 1975, pp. 55-66).</w:t>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(אבינרי, 2007, עמ' 42-56; Beller, 1991, pp. 9-19).</w:t>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(Elon, 1975, pp. 87-113; Penslar, 2020, pp. 31-48).</w:t>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(Kornberg, 1993, pp. 134-158; Pawel, 1989, pp. 189-240).</w:t>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(כ"ץ, 1979, עמ' 9-17, 245-260; Pulzer, 1988, pp. 47-57).</w:t>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(כ"ץ, 1979, עמ' 227-244).</w:t>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(אטינגר, 1978, עמ' 1-46).</w:t>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(אנגל, תש"ף, עמ' 13-55; השל, תש"ף, עמ' 5-30; Engel, 2009, pp. 30-53).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(פלדמן, תש"ף, עמ' 295-296).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(ברזלי, תש"ף, עמ' 195-196, 206-207).</w:t>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(אנגל, תש"ף, עמ' 13-55; ברזלי, תש"ף, עמ' 206-207).</w:t>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(כ"ץ, 1979, עמ' 261-289; Pulzer, 1988, pp. 88-105).</w:t>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(כ"ץ, 1979, עמ' 290-308; Pulzer, 1988, pp. 49-52, 92-95).</w:t>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(Pulzer, 1988, pp. 106-130).</w:t>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(כ"ץ, 1979, עמ' 309-320; Pulzer, 1988, pp. 121-130).</w:t>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(וולקוב, 2002, עמ' 71-98; Volkov, 1978, pp. 25-46).</w:t>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(מירון, 2022, עמ' 54-56; Pulzer, 1988, pp. 148-155).</w:t>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(Wistrich, 1989, pp. 3-61).</w:t>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(מירון, 2022, עמ' 56-59; Wistrich, 1989, pp. 205-256).</w:t>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(מירון, 2022, עמ' 58-59; Schorske, 1980, pp. 116-180).</w:t>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(מירון, 2022, עמ' 60-62; Hyman, 1998, pp. 89-95).</w:t>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(Hyman, 1998, pp. 95-99; Wilson, 1982, pp. 3-35).</w:t>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(דרימון, 1886, עמ' 443-444; Hyman, 1998, pp. 96-98).</w:t>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(Wilson, 1982, pp. 36-70; Cahm, 1996, pp. 1-24).</w:t>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(Wilson, 1982, pp. 106-124, 171-200; Birnbaum, 2003, pp. 1-22).</w:t>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(Hyman, 1998, pp. 104-106; Marrus, 1971, pp. 196-242).</w:t>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(מירון, 2022, עמ' 63; Hyman, 1998, pp. 98-99, 111-114).</w:t>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(Hyman, 1998, pp. 111-114; Pulzer, 1988, pp. 47-57).</w:t>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(אבינרי, 2007, עמ' 15-56; Hyman, 1998, pp. 111-114; Pulzer, 1988, pp. 47-57).</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2026-09-19T09:30:57.567Z</dcterms:created>
  <dcterms:modified xsi:type="dcterms:W3CDTF">2026-09-19T09:30:57.567Z</dcterms:modified>
</cp:coreProperties>
</file>

<file path=docProps/custom.xml><?xml version="1.0" encoding="utf-8"?>
<Properties xmlns="http://schemas.openxmlformats.org/officeDocument/2006/custom-properties" xmlns:vt="http://schemas.openxmlformats.org/officeDocument/2006/docPropsVTypes"/>
</file>