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highlight w:val="yellow"/>
        </w:rPr>
        <w:t>[שם ומשפחה], ת"ז [מספר]</w:t>
      </w:r>
    </w:p>
    <w:p>
      <w:pPr>
        <w:jc w:val="center"/>
      </w:pPr>
      <w:r>
        <w:rPr>
          <w:b w:val="0"/>
          <w:i w:val="0"/>
          <w:noProof/>
          <w:sz w:val="24"/>
          <w:szCs w:val="24"/>
          <w:highlight w:val="yellow"/>
        </w:rPr>
        <w:t>[שם ומשפחה], ת"ז [מספר]</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[תאריך]</w:t>
      </w:r>
    </w:p>
    <w:p>
      <w:r>
        <w:rPr>
          <w:noProof/>
        </w:rPr>
        <w:br w:type="page"/>
      </w:r>
    </w:p>
    <w:p>
      <w:pPr>
        <w:pStyle w:val="Heading1"/>
      </w:pPr>
      <w:r>
        <w:rPr>
          <w:noProof/>
        </w:rPr>
        <w:t>הצהרת מקוריות</w:t>
      </w:r>
    </w:p>
    <w:p>
      <w:r>
        <w:rPr>
          <w:b w:val="0"/>
          <w:i w:val="0"/>
          <w:noProof/>
          <w:highlight w:val="yellow"/>
        </w:rPr>
        <w:t>[להדביק כאן את נוסח הצהרת המקוריות מאתר הקורס, כלשונו, ולחתום.]</w:t>
      </w:r>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בית ספר יסודי בטייבה, חטיבת ביניים בבאר שבע,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כ־630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רונית (שם בדוי)</w:t>
            </w:r>
          </w:p>
        </w:tc>
        <w:tc>
          <w:tcPr>
            <w:tcW w:type="dxa" w:w="3061"/>
          </w:tcPr>
          <w:p>
            <w:pPr>
              <w:spacing w:line="276" w:lineRule="auto" w:after="40"/>
              <w:jc w:val="right"/>
            </w:pPr>
            <w:r>
              <w:rPr>
                <w:b w:val="0"/>
                <w:i w:val="0"/>
                <w:noProof/>
                <w:sz w:val="22"/>
                <w:szCs w:val="22"/>
              </w:rPr>
              <w:t>מנהלת חטיבת ביניים ממלכתית בבאר שבע, כ־700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כ־1,100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כ־560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בבעלות רשות מקומית, והם פועלים בהקשרים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(רונית)</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(רונית)</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בסופה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כפי שמצוטט אצל הוכמן, 2026). דילמת האסיר, שהוצגה בקורס, מראה מצב שבו התנהגות רציונלית לחלוטין מנקודת המבט של כל צד מובילה לתוצאה שאינה אופטימלית לשניהם (הוכמן, 2026). הקורס הדגיש גם ממצא נוסף: אנשים אינם פועלים רק משיקולים רציונליים אלא גם משיקולי הוגנות, ודוחים הצעה שנתפסת בעיניהם כמעליבה גם כאשר הדחייה עולה להם (הוכמן, 2026).</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(הוכמן, 2026).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רונית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noProof/>
        </w:rPr>
        <w:t>מבחינת התוצאה זה בדיוק מה שרציתי, ומבחינת המילים זה מה שהם היו צריכים.</w:t>
      </w:r>
    </w:p>
    <w:p>
      <w:r>
        <w:rPr>
          <w:b w:val="0"/>
          <w:i w:val="0"/>
          <w:noProof/>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רונית מול צוות המורים על ההוראה בזמן המלחמה</w:t>
      </w:r>
    </w:p>
    <w:p>
      <w:r>
        <w:rPr>
          <w:b w:val="0"/>
          <w:i w:val="0"/>
          <w:noProof/>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רונית מול מורים בתקופת מחסור במורים</w:t>
      </w:r>
    </w:p>
    <w:p>
      <w:r>
        <w:rPr>
          <w:b w:val="0"/>
          <w:i w:val="0"/>
          <w:noProof/>
        </w:rPr>
        <w:t>רונית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רונית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רונית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(הוכמן, 2026).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(הוכמן, 2026). רונית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עירונית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(הוכמן, 2026).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(הוכמן, 2026).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לארונית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(הוכמן, 2026).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רונית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אבל רק אחרי שהגישה החלוקתית נכשלה.</w:t>
      </w:r>
    </w:p>
    <w:p>
      <w:r>
        <w:rPr>
          <w:b w:val="0"/>
          <w:i w:val="0"/>
          <w:noProof/>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(הוכמן, 2026).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שרונית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רונית מול המחסור במורים</w:t>
      </w:r>
    </w:p>
    <w:p>
      <w:r>
        <w:rPr>
          <w:b w:val="0"/>
          <w:i w:val="0"/>
          <w:noProof/>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רונית,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שרונית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רונית (שם בדוי)</w:t>
      </w:r>
    </w:p>
    <w:p>
      <w:r>
        <w:rPr>
          <w:b w:val="0"/>
          <w:i w:val="0"/>
          <w:noProof/>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כחמש מאות ושישים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חמש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