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before="1200" w:line="360"/>
        <w:jc w:val="center"/>
      </w:pPr>
      <w:r>
        <w:rPr>
          <w:rFonts w:ascii="Times New Roman" w:cs="David" w:eastAsia="David" w:hAnsi="Times New Roman"/>
          <w:b/>
          <w:bCs/>
          <w:i w:val="false"/>
          <w:iCs w:val="false"/>
          <w:sz w:val="26"/>
          <w:szCs w:val="26"/>
          <w:rtl/>
        </w:rPr>
        <w:t xml:space="preserve">[שם המוסד האקדמי]</w:t>
      </w:r>
    </w:p>
    <w:p>
      <w:pPr>
        <w:bidi/>
        <w:spacing w:line="360"/>
        <w:jc w:val="center"/>
      </w:pPr>
      <w:r>
        <w:rPr>
          <w:rFonts w:ascii="Times New Roman" w:cs="David" w:eastAsia="David" w:hAnsi="Times New Roman"/>
          <w:b w:val="false"/>
          <w:bCs w:val="false"/>
          <w:i w:val="false"/>
          <w:iCs w:val="false"/>
          <w:sz w:val="24"/>
          <w:szCs w:val="24"/>
          <w:rtl/>
        </w:rPr>
        <w:t xml:space="preserve">[שם התוכנית / החוג]</w:t>
      </w:r>
    </w:p>
    <w:p>
      <w:pPr>
        <w:bidi/>
        <w:spacing w:before="240" w:line="360"/>
        <w:jc w:val="center"/>
      </w:pPr>
      <w:r>
        <w:rPr>
          <w:rFonts w:ascii="Times New Roman" w:cs="David" w:eastAsia="David" w:hAnsi="Times New Roman"/>
          <w:b w:val="false"/>
          <w:bCs w:val="false"/>
          <w:i w:val="false"/>
          <w:iCs w:val="false"/>
          <w:sz w:val="24"/>
          <w:szCs w:val="24"/>
          <w:rtl/>
        </w:rPr>
        <w:t xml:space="preserve">קורס: זואולוגיה [מספר הקורס]</w:t>
      </w:r>
    </w:p>
    <w:p>
      <w:pPr>
        <w:bidi/>
        <w:spacing w:line="360"/>
        <w:jc w:val="center"/>
      </w:pPr>
      <w:r>
        <w:rPr>
          <w:rFonts w:ascii="Times New Roman" w:cs="David" w:eastAsia="David" w:hAnsi="Times New Roman"/>
          <w:b w:val="false"/>
          <w:bCs w:val="false"/>
          <w:i w:val="false"/>
          <w:iCs w:val="false"/>
          <w:sz w:val="24"/>
          <w:szCs w:val="24"/>
          <w:rtl/>
        </w:rPr>
        <w:t xml:space="preserve">מרצה: ד"ר אלון לוטן</w:t>
      </w:r>
    </w:p>
    <w:p>
      <w:pPr>
        <w:bidi/>
        <w:spacing w:before="1400" w:line="360"/>
        <w:jc w:val="center"/>
      </w:pPr>
      <w:r>
        <w:rPr>
          <w:rFonts w:ascii="Times New Roman" w:cs="David" w:eastAsia="David" w:hAnsi="Times New Roman"/>
          <w:b/>
          <w:bCs/>
          <w:i w:val="false"/>
          <w:iCs w:val="false"/>
          <w:sz w:val="32"/>
          <w:szCs w:val="32"/>
          <w:rtl/>
        </w:rPr>
        <w:t xml:space="preserve">בין החצר לקיר:</w:t>
      </w:r>
    </w:p>
    <w:p>
      <w:pPr>
        <w:bidi/>
        <w:spacing w:line="360"/>
        <w:jc w:val="center"/>
      </w:pPr>
      <w:r>
        <w:rPr>
          <w:rFonts w:ascii="Times New Roman" w:cs="David" w:eastAsia="David" w:hAnsi="Times New Roman"/>
          <w:b/>
          <w:bCs/>
          <w:i w:val="false"/>
          <w:iCs w:val="false"/>
          <w:sz w:val="28"/>
          <w:szCs w:val="28"/>
          <w:rtl/>
        </w:rPr>
        <w:t xml:space="preserve">השוואה בין הצרעה המזרחית (Vespa orientalis)</w:t>
      </w:r>
    </w:p>
    <w:p>
      <w:pPr>
        <w:bidi/>
        <w:spacing w:line="360"/>
        <w:jc w:val="center"/>
      </w:pPr>
      <w:r>
        <w:rPr>
          <w:rFonts w:ascii="Times New Roman" w:cs="David" w:eastAsia="David" w:hAnsi="Times New Roman"/>
          <w:b/>
          <w:bCs/>
          <w:i w:val="false"/>
          <w:iCs w:val="false"/>
          <w:sz w:val="28"/>
          <w:szCs w:val="28"/>
          <w:rtl/>
        </w:rPr>
        <w:t xml:space="preserve">לשממית המצויה (Hemidactylus turcicus)</w:t>
      </w:r>
    </w:p>
    <w:p>
      <w:pPr>
        <w:bidi/>
        <w:spacing w:before="160" w:line="360"/>
        <w:jc w:val="center"/>
      </w:pPr>
      <w:r>
        <w:rPr>
          <w:rFonts w:ascii="Times New Roman" w:cs="David" w:eastAsia="David" w:hAnsi="Times New Roman"/>
          <w:b w:val="false"/>
          <w:bCs w:val="false"/>
          <w:i w:val="false"/>
          <w:iCs w:val="false"/>
          <w:sz w:val="24"/>
          <w:szCs w:val="24"/>
          <w:rtl/>
        </w:rPr>
        <w:t xml:space="preserve">עבודה מסכמת</w:t>
      </w:r>
    </w:p>
    <w:p>
      <w:pPr>
        <w:bidi/>
        <w:spacing w:before="1600" w:line="360"/>
        <w:jc w:val="center"/>
      </w:pPr>
      <w:r>
        <w:rPr>
          <w:rFonts w:ascii="Times New Roman" w:cs="David" w:eastAsia="David" w:hAnsi="Times New Roman"/>
          <w:b w:val="false"/>
          <w:bCs w:val="false"/>
          <w:i w:val="false"/>
          <w:iCs w:val="false"/>
          <w:sz w:val="24"/>
          <w:szCs w:val="24"/>
          <w:rtl/>
        </w:rPr>
        <w:t xml:space="preserve">מגיש/ה: [שם מלא]</w:t>
      </w:r>
    </w:p>
    <w:p>
      <w:pPr>
        <w:bidi/>
        <w:spacing w:line="360"/>
        <w:jc w:val="center"/>
      </w:pPr>
      <w:r>
        <w:rPr>
          <w:rFonts w:ascii="Times New Roman" w:cs="David" w:eastAsia="David" w:hAnsi="Times New Roman"/>
          <w:b w:val="false"/>
          <w:bCs w:val="false"/>
          <w:i w:val="false"/>
          <w:iCs w:val="false"/>
          <w:sz w:val="24"/>
          <w:szCs w:val="24"/>
          <w:rtl/>
        </w:rPr>
        <w:t xml:space="preserve">ת.ז.: [מספר תעודת זהות]</w:t>
      </w:r>
    </w:p>
    <w:p>
      <w:pPr>
        <w:bidi/>
        <w:spacing w:before="400" w:line="360"/>
        <w:jc w:val="center"/>
      </w:pPr>
      <w:r>
        <w:rPr>
          <w:rFonts w:ascii="Times New Roman" w:cs="David" w:eastAsia="David" w:hAnsi="Times New Roman"/>
          <w:b w:val="false"/>
          <w:bCs w:val="false"/>
          <w:i w:val="false"/>
          <w:iCs w:val="false"/>
          <w:sz w:val="24"/>
          <w:szCs w:val="24"/>
          <w:rtl/>
        </w:rPr>
        <w:t xml:space="preserve">אב תשפ"ו, אוגוסט 2026</w:t>
      </w:r>
    </w:p>
    <w:p>
      <w:pPr>
        <w:pageBreakBefore/>
        <w:bidi/>
        <w:spacing w:after="240" w:before="0" w:line="360"/>
        <w:jc w:val="right"/>
      </w:pPr>
      <w:r>
        <w:rPr>
          <w:rFonts w:ascii="Times New Roman" w:cs="David" w:eastAsia="David" w:hAnsi="Times New Roman"/>
          <w:b/>
          <w:bCs/>
          <w:i w:val="false"/>
          <w:iCs w:val="false"/>
          <w:sz w:val="28"/>
          <w:szCs w:val="28"/>
          <w:rtl/>
        </w:rPr>
        <w:t xml:space="preserve">תוכן עניינים</w:t>
      </w:r>
    </w:p>
    <w:p>
      <w:pPr>
        <w:tabs>
          <w:tab w:val="left" w:pos="8500"/>
        </w:tabs>
        <w:bidi/>
        <w:spacing w:after="60" w:line="360"/>
        <w:jc w:val="right"/>
      </w:pPr>
      <w:r>
        <w:rPr>
          <w:rFonts w:ascii="Times New Roman" w:cs="David" w:eastAsia="David" w:hAnsi="Times New Roman"/>
          <w:b w:val="false"/>
          <w:bCs w:val="false"/>
          <w:i w:val="false"/>
          <w:iCs w:val="false"/>
          <w:sz w:val="24"/>
          <w:szCs w:val="24"/>
          <w:rtl/>
        </w:rPr>
        <w:t xml:space="preserve">מבוא	3</w:t>
      </w:r>
    </w:p>
    <w:p>
      <w:pPr>
        <w:tabs>
          <w:tab w:val="left" w:pos="8500"/>
        </w:tabs>
        <w:bidi/>
        <w:spacing w:after="60" w:line="360"/>
        <w:jc w:val="right"/>
      </w:pPr>
      <w:r>
        <w:rPr>
          <w:rFonts w:ascii="Times New Roman" w:cs="David" w:eastAsia="David" w:hAnsi="Times New Roman"/>
          <w:b w:val="false"/>
          <w:bCs w:val="false"/>
          <w:i w:val="false"/>
          <w:iCs w:val="false"/>
          <w:sz w:val="24"/>
          <w:szCs w:val="24"/>
          <w:rtl/>
        </w:rPr>
        <w:t xml:space="preserve">הצגת בעלי החיים: מיון סיסטמטי ומידע כללי	4</w:t>
      </w:r>
    </w:p>
    <w:p>
      <w:pPr>
        <w:tabs>
          <w:tab w:val="left" w:pos="8500"/>
        </w:tabs>
        <w:bidi/>
        <w:spacing w:after="60" w:line="360"/>
        <w:jc w:val="right"/>
      </w:pPr>
      <w:r>
        <w:rPr>
          <w:rFonts w:ascii="Times New Roman" w:cs="David" w:eastAsia="David" w:hAnsi="Times New Roman"/>
          <w:b w:val="false"/>
          <w:bCs w:val="false"/>
          <w:i w:val="false"/>
          <w:iCs w:val="false"/>
          <w:sz w:val="24"/>
          <w:szCs w:val="24"/>
          <w:rtl/>
        </w:rPr>
        <w:t xml:space="preserve">הצרעה המזרחית (Vespa orientalis)	4</w:t>
      </w:r>
    </w:p>
    <w:p>
      <w:pPr>
        <w:tabs>
          <w:tab w:val="left" w:pos="8500"/>
        </w:tabs>
        <w:bidi/>
        <w:spacing w:after="60" w:line="360"/>
        <w:jc w:val="right"/>
      </w:pPr>
      <w:r>
        <w:rPr>
          <w:rFonts w:ascii="Times New Roman" w:cs="David" w:eastAsia="David" w:hAnsi="Times New Roman"/>
          <w:b w:val="false"/>
          <w:bCs w:val="false"/>
          <w:i w:val="false"/>
          <w:iCs w:val="false"/>
          <w:sz w:val="24"/>
          <w:szCs w:val="24"/>
          <w:rtl/>
        </w:rPr>
        <w:t xml:space="preserve">השממית המצויה (Hemidactylus turcicus)	6</w:t>
      </w:r>
    </w:p>
    <w:p>
      <w:pPr>
        <w:tabs>
          <w:tab w:val="left" w:pos="8500"/>
        </w:tabs>
        <w:bidi/>
        <w:spacing w:after="60" w:line="360"/>
        <w:jc w:val="right"/>
      </w:pPr>
      <w:r>
        <w:rPr>
          <w:rFonts w:ascii="Times New Roman" w:cs="David" w:eastAsia="David" w:hAnsi="Times New Roman"/>
          <w:b w:val="false"/>
          <w:bCs w:val="false"/>
          <w:i w:val="false"/>
          <w:iCs w:val="false"/>
          <w:sz w:val="24"/>
          <w:szCs w:val="24"/>
          <w:rtl/>
        </w:rPr>
        <w:t xml:space="preserve">טבלת השוואה	8</w:t>
      </w:r>
    </w:p>
    <w:p>
      <w:pPr>
        <w:tabs>
          <w:tab w:val="left" w:pos="8500"/>
        </w:tabs>
        <w:bidi/>
        <w:spacing w:after="60" w:line="360"/>
        <w:jc w:val="right"/>
      </w:pPr>
      <w:r>
        <w:rPr>
          <w:rFonts w:ascii="Times New Roman" w:cs="David" w:eastAsia="David" w:hAnsi="Times New Roman"/>
          <w:b w:val="false"/>
          <w:bCs w:val="false"/>
          <w:i w:val="false"/>
          <w:iCs w:val="false"/>
          <w:sz w:val="24"/>
          <w:szCs w:val="24"/>
          <w:rtl/>
        </w:rPr>
        <w:t xml:space="preserve">סיכום ומסקנות	11</w:t>
      </w:r>
    </w:p>
    <w:p>
      <w:pPr>
        <w:tabs>
          <w:tab w:val="left" w:pos="8500"/>
        </w:tabs>
        <w:bidi/>
        <w:spacing w:after="60" w:line="360"/>
        <w:jc w:val="right"/>
      </w:pPr>
      <w:r>
        <w:rPr>
          <w:rFonts w:ascii="Times New Roman" w:cs="David" w:eastAsia="David" w:hAnsi="Times New Roman"/>
          <w:b w:val="false"/>
          <w:bCs w:val="false"/>
          <w:i w:val="false"/>
          <w:iCs w:val="false"/>
          <w:sz w:val="24"/>
          <w:szCs w:val="24"/>
          <w:rtl/>
        </w:rPr>
        <w:t xml:space="preserve">רפלקציה אישית	12</w:t>
      </w:r>
    </w:p>
    <w:p>
      <w:pPr>
        <w:tabs>
          <w:tab w:val="left" w:pos="8500"/>
        </w:tabs>
        <w:bidi/>
        <w:spacing w:after="60" w:line="360"/>
        <w:jc w:val="right"/>
      </w:pPr>
      <w:r>
        <w:rPr>
          <w:rFonts w:ascii="Times New Roman" w:cs="David" w:eastAsia="David" w:hAnsi="Times New Roman"/>
          <w:b w:val="false"/>
          <w:bCs w:val="false"/>
          <w:i w:val="false"/>
          <w:iCs w:val="false"/>
          <w:sz w:val="24"/>
          <w:szCs w:val="24"/>
          <w:rtl/>
        </w:rPr>
        <w:t xml:space="preserve">רשימת מקורות	13</w:t>
      </w:r>
    </w:p>
    <w:p>
      <w:pPr>
        <w:pageBreakBefore/>
        <w:bidi/>
        <w:spacing w:after="240" w:before="0" w:line="360"/>
        <w:jc w:val="right"/>
      </w:pPr>
      <w:r>
        <w:rPr>
          <w:rFonts w:ascii="Times New Roman" w:cs="David" w:eastAsia="David" w:hAnsi="Times New Roman"/>
          <w:b/>
          <w:bCs/>
          <w:i w:val="false"/>
          <w:iCs w:val="false"/>
          <w:sz w:val="28"/>
          <w:szCs w:val="28"/>
          <w:rtl/>
        </w:rPr>
        <w:t xml:space="preserve">מבוא</w:t>
      </w:r>
    </w:p>
    <w:p>
      <w:pPr>
        <w:bidi/>
        <w:spacing w:after="120" w:before="0" w:line="360"/>
        <w:jc w:val="both"/>
      </w:pPr>
      <w:r>
        <w:rPr>
          <w:rFonts w:ascii="Times New Roman" w:cs="David" w:eastAsia="David" w:hAnsi="Times New Roman"/>
          <w:b w:val="false"/>
          <w:bCs w:val="false"/>
          <w:i w:val="false"/>
          <w:iCs w:val="false"/>
          <w:sz w:val="24"/>
          <w:szCs w:val="24"/>
          <w:rtl/>
        </w:rPr>
        <w:t xml:space="preserve">עבודה זו עוסקת בשני בעלי חיים הנפוצים בסביבת המגורים האנושית בישראל: הצרעה המזרחית (Vespa orientalis), חרק חברתי ממשפחת הצרעיים, והשממית המצויה (Hemidactylus turcicus), לטאה לילית ממשפחת השממיתיים. שני המינים מקומיים, שניהם פעילים בחצר ובקרבת קירות הבית, ושניהם נתקלים בבני אדם כמעט מדי יום בעונה החמה. רוב האנשים מכירים אותם היטב בלי לדעת עליהם דבר.</w:t>
      </w:r>
    </w:p>
    <w:p>
      <w:pPr>
        <w:bidi/>
        <w:spacing w:after="120" w:before="0" w:line="360"/>
        <w:jc w:val="both"/>
      </w:pPr>
      <w:r>
        <w:rPr>
          <w:rFonts w:ascii="Times New Roman" w:cs="David" w:eastAsia="David" w:hAnsi="Times New Roman"/>
          <w:b w:val="false"/>
          <w:bCs w:val="false"/>
          <w:i w:val="false"/>
          <w:iCs w:val="false"/>
          <w:sz w:val="24"/>
          <w:szCs w:val="24"/>
          <w:rtl/>
        </w:rPr>
        <w:t xml:space="preserve">הבחירה בצמד הזה נעשתה כדי להעמיד זה מול זה שני פתרונות אבולוציוניים רחוקים לאותן דרישות בסיסיות. הצרעה היא חסרת חוליות בעלת שלד חיצוני, מערכת דם פתוחה ונשימה במערכת קנימים, ואילו השממית היא בעלת חוליות בעלת שלד פנימי, מערכת דם סגורה וריאות (לוטן, ל.ת.). המרחק הטקסונומי ביניהן עצום, שכן הן נפרדו זו מזו עוד לפני התייצבותן של המערכות העיקריות בממלכת בעלי החיים. ובכל זאת הן חיות באותה חצר, שתיהן ניזונות בחלק ניכר מאותם חרקים, ושתיהן תלויות בטמפרטורת הסביבה כדי לפעול.</w:t>
      </w:r>
    </w:p>
    <w:p>
      <w:pPr>
        <w:bidi/>
        <w:spacing w:after="120" w:before="0" w:line="360"/>
        <w:jc w:val="both"/>
      </w:pPr>
      <w:r>
        <w:rPr>
          <w:rFonts w:ascii="Times New Roman" w:cs="David" w:eastAsia="David" w:hAnsi="Times New Roman"/>
          <w:b w:val="false"/>
          <w:bCs w:val="false"/>
          <w:i w:val="false"/>
          <w:iCs w:val="false"/>
          <w:sz w:val="24"/>
          <w:szCs w:val="24"/>
          <w:rtl/>
        </w:rPr>
        <w:t xml:space="preserve">הצרעה המזרחית נצפתה בסביבת הבית [ציינו: היכן בדיוק, למשל ליד פח האשפה בחצר או על עץ פרי, ובאיזה תאריך]. השממית המצויה נצפתה [ציינו: היכן, למשל על קיר חיצוני סמוך למנורת כניסה, ובאיזה תאריך]. הבחירה בשממית נבעה גם מהיכרות ארוכה: היא מופיעה על אותו קיר בכל קיץ, ולאורך שנים היא נעשתה חלק קבוע מהנוף הביתי. שני התצלומים המובאים בעבודה אינם צילום עצמי אלא לקוחים ממאגר ויקישיתוף, בהתאם לאפשרות שניתנה במטלה לצרף תמונה מהרשת בציון מקורה. מקור כל תמונה, שם הצלם ורישיון השימוש מצוינים תחתיה.</w:t>
      </w:r>
    </w:p>
    <w:p>
      <w:pPr>
        <w:bidi/>
        <w:spacing w:after="120" w:before="0" w:line="360"/>
        <w:jc w:val="both"/>
      </w:pPr>
      <w:r>
        <w:rPr>
          <w:rFonts w:ascii="Times New Roman" w:cs="David" w:eastAsia="David" w:hAnsi="Times New Roman"/>
          <w:b w:val="false"/>
          <w:bCs w:val="false"/>
          <w:i w:val="false"/>
          <w:iCs w:val="false"/>
          <w:sz w:val="24"/>
          <w:szCs w:val="24"/>
          <w:rtl/>
        </w:rPr>
        <w:t xml:space="preserve">העבודה כוללת ארבעה חלקים. תחילה מוצג לכל מין המיון הסיסטמטי המלא ולצדו מידע כללי על המבנה, מחזור החיים והאקולוגיה. לאחר מכן מובאת טבלת השוואה שבה כל שורה עוסקת בנושא אחד, ממבנה הגוף ועד הקשר לאדם. החלק השלישי מסכם את התובנות העולות מן ההשוואה, והאחרון הוא רפלקציה אישית על תהליך הלמידה.</w:t>
      </w:r>
    </w:p>
    <w:p>
      <w:pPr>
        <w:pageBreakBefore/>
        <w:bidi/>
        <w:spacing w:after="240" w:before="0" w:line="360"/>
        <w:jc w:val="right"/>
      </w:pPr>
      <w:r>
        <w:rPr>
          <w:rFonts w:ascii="Times New Roman" w:cs="David" w:eastAsia="David" w:hAnsi="Times New Roman"/>
          <w:b/>
          <w:bCs/>
          <w:i w:val="false"/>
          <w:iCs w:val="false"/>
          <w:sz w:val="28"/>
          <w:szCs w:val="28"/>
          <w:rtl/>
        </w:rPr>
        <w:t xml:space="preserve">הצגת בעלי החיים: מיון סיסטמטי ומידע כללי</w:t>
      </w:r>
    </w:p>
    <w:p>
      <w:pPr>
        <w:bidi/>
        <w:spacing w:after="120" w:before="200" w:line="360"/>
        <w:jc w:val="right"/>
      </w:pPr>
      <w:r>
        <w:rPr>
          <w:rFonts w:ascii="Times New Roman" w:cs="David" w:eastAsia="David" w:hAnsi="Times New Roman"/>
          <w:b/>
          <w:bCs/>
          <w:i w:val="false"/>
          <w:iCs w:val="false"/>
          <w:sz w:val="26"/>
          <w:szCs w:val="26"/>
          <w:rtl/>
        </w:rPr>
        <w:t xml:space="preserve">הצרעה המזרחית (Vespa orientalis)</w:t>
      </w:r>
    </w:p>
    <w:p>
      <w:pPr>
        <w:bidi/>
        <w:spacing w:after="100" w:before="160" w:line="360"/>
        <w:jc w:val="right"/>
      </w:pPr>
      <w:r>
        <w:rPr>
          <w:rFonts w:ascii="Times New Roman" w:cs="David" w:eastAsia="David" w:hAnsi="Times New Roman"/>
          <w:b/>
          <w:bCs/>
          <w:i w:val="false"/>
          <w:iCs w:val="false"/>
          <w:sz w:val="24"/>
          <w:szCs w:val="24"/>
          <w:rtl/>
        </w:rPr>
        <w:t xml:space="preserve">מיון סיסטמטי</w:t>
      </w:r>
    </w:p>
    <w:tbl>
      <w:tblPr>
        <w:bidiVisual/>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tblGrid>
      <w:tr>
        <w:tc>
          <w:tcPr>
            <w:tcW w:type="dxa" w:w="3000"/>
            <w:shd w:fill="D9D9D9" w:color="auto" w:val="clear"/>
            <w:tcMar>
              <w:top w:type="dxa" w:w="60"/>
              <w:left w:type="dxa" w:w="90"/>
              <w:bottom w:type="dxa" w:w="60"/>
              <w:right w:type="dxa" w:w="90"/>
            </w:tcMar>
          </w:tcPr>
          <w:p>
            <w:pPr>
              <w:bidi/>
              <w:spacing w:after="40" w:before="40" w:line="240"/>
              <w:jc w:val="right"/>
            </w:pPr>
            <w:r>
              <w:rPr>
                <w:rFonts w:ascii="Times New Roman" w:cs="David" w:eastAsia="David" w:hAnsi="Times New Roman"/>
                <w:b/>
                <w:bCs/>
                <w:i w:val="false"/>
                <w:iCs w:val="false"/>
                <w:sz w:val="21"/>
                <w:szCs w:val="21"/>
                <w:rtl/>
              </w:rPr>
              <w:t xml:space="preserve">דרגת המיון</w:t>
            </w:r>
          </w:p>
        </w:tc>
        <w:tc>
          <w:tcPr>
            <w:tcW w:type="dxa" w:w="3400"/>
            <w:tcMar>
              <w:top w:type="dxa" w:w="60"/>
              <w:left w:type="dxa" w:w="90"/>
              <w:bottom w:type="dxa" w:w="60"/>
              <w:right w:type="dxa" w:w="90"/>
            </w:tcMar>
          </w:tcPr>
          <w:p>
            <w:pPr>
              <w:bidi/>
              <w:spacing w:after="40" w:before="40" w:line="240"/>
              <w:jc w:val="right"/>
            </w:pPr>
            <w:r>
              <w:rPr>
                <w:rFonts w:ascii="Times New Roman" w:cs="David" w:eastAsia="David" w:hAnsi="Times New Roman"/>
                <w:b/>
                <w:bCs/>
                <w:i w:val="false"/>
                <w:iCs w:val="false"/>
                <w:sz w:val="21"/>
                <w:szCs w:val="21"/>
                <w:rtl/>
              </w:rPr>
              <w:t xml:space="preserve">הצרעה המזרחית</w:t>
            </w:r>
          </w:p>
        </w:tc>
      </w:tr>
      <w:tr>
        <w:tc>
          <w:tcPr>
            <w:tcW w:type="dxa" w:w="3000"/>
            <w:shd w:fill="F2F2F2" w:color="auto" w:val="clear"/>
            <w:tcMar>
              <w:top w:type="dxa" w:w="60"/>
              <w:left w:type="dxa" w:w="90"/>
              <w:bottom w:type="dxa" w:w="60"/>
              <w:right w:type="dxa" w:w="90"/>
            </w:tcMar>
          </w:tcPr>
          <w:p>
            <w:pPr>
              <w:bidi/>
              <w:spacing w:after="40" w:before="40" w:line="240"/>
              <w:jc w:val="right"/>
            </w:pPr>
            <w:r>
              <w:rPr>
                <w:rFonts w:ascii="Times New Roman" w:cs="David" w:eastAsia="David" w:hAnsi="Times New Roman"/>
                <w:b/>
                <w:bCs/>
                <w:i w:val="false"/>
                <w:iCs w:val="false"/>
                <w:sz w:val="21"/>
                <w:szCs w:val="21"/>
                <w:rtl/>
              </w:rPr>
              <w:t xml:space="preserve">ממלכה (Kingdom)</w:t>
            </w:r>
          </w:p>
        </w:tc>
        <w:tc>
          <w:tcPr>
            <w:tcW w:type="dxa" w:w="3400"/>
            <w:tcMar>
              <w:top w:type="dxa" w:w="60"/>
              <w:left w:type="dxa" w:w="90"/>
              <w:bottom w:type="dxa" w:w="60"/>
              <w:right w:type="dxa" w:w="90"/>
            </w:tcMar>
          </w:tcPr>
          <w:p>
            <w:pPr>
              <w:bidi/>
              <w:spacing w:after="40" w:before="40" w:line="240"/>
              <w:jc w:val="right"/>
            </w:pPr>
            <w:r>
              <w:rPr>
                <w:rFonts w:ascii="Times New Roman" w:cs="David" w:eastAsia="David" w:hAnsi="Times New Roman"/>
                <w:b w:val="false"/>
                <w:bCs w:val="false"/>
                <w:i w:val="false"/>
                <w:iCs w:val="false"/>
                <w:sz w:val="21"/>
                <w:szCs w:val="21"/>
                <w:rtl/>
              </w:rPr>
              <w:t xml:space="preserve">בעלי חיים (Animalia)</w:t>
            </w:r>
          </w:p>
        </w:tc>
      </w:tr>
      <w:tr>
        <w:tc>
          <w:tcPr>
            <w:tcW w:type="dxa" w:w="3000"/>
            <w:shd w:fill="F2F2F2" w:color="auto" w:val="clear"/>
            <w:tcMar>
              <w:top w:type="dxa" w:w="60"/>
              <w:left w:type="dxa" w:w="90"/>
              <w:bottom w:type="dxa" w:w="60"/>
              <w:right w:type="dxa" w:w="90"/>
            </w:tcMar>
          </w:tcPr>
          <w:p>
            <w:pPr>
              <w:bidi/>
              <w:spacing w:after="40" w:before="40" w:line="240"/>
              <w:jc w:val="right"/>
            </w:pPr>
            <w:r>
              <w:rPr>
                <w:rFonts w:ascii="Times New Roman" w:cs="David" w:eastAsia="David" w:hAnsi="Times New Roman"/>
                <w:b/>
                <w:bCs/>
                <w:i w:val="false"/>
                <w:iCs w:val="false"/>
                <w:sz w:val="21"/>
                <w:szCs w:val="21"/>
                <w:rtl/>
              </w:rPr>
              <w:t xml:space="preserve">מערכה (Phylum)</w:t>
            </w:r>
          </w:p>
        </w:tc>
        <w:tc>
          <w:tcPr>
            <w:tcW w:type="dxa" w:w="3400"/>
            <w:tcMar>
              <w:top w:type="dxa" w:w="60"/>
              <w:left w:type="dxa" w:w="90"/>
              <w:bottom w:type="dxa" w:w="60"/>
              <w:right w:type="dxa" w:w="90"/>
            </w:tcMar>
          </w:tcPr>
          <w:p>
            <w:pPr>
              <w:bidi/>
              <w:spacing w:after="40" w:before="40" w:line="240"/>
              <w:jc w:val="right"/>
            </w:pPr>
            <w:r>
              <w:rPr>
                <w:rFonts w:ascii="Times New Roman" w:cs="David" w:eastAsia="David" w:hAnsi="Times New Roman"/>
                <w:b w:val="false"/>
                <w:bCs w:val="false"/>
                <w:i w:val="false"/>
                <w:iCs w:val="false"/>
                <w:sz w:val="21"/>
                <w:szCs w:val="21"/>
                <w:rtl/>
              </w:rPr>
              <w:t xml:space="preserve">פרוקי רגליים (Arthropoda)</w:t>
            </w:r>
          </w:p>
        </w:tc>
      </w:tr>
      <w:tr>
        <w:tc>
          <w:tcPr>
            <w:tcW w:type="dxa" w:w="3000"/>
            <w:shd w:fill="F2F2F2" w:color="auto" w:val="clear"/>
            <w:tcMar>
              <w:top w:type="dxa" w:w="60"/>
              <w:left w:type="dxa" w:w="90"/>
              <w:bottom w:type="dxa" w:w="60"/>
              <w:right w:type="dxa" w:w="90"/>
            </w:tcMar>
          </w:tcPr>
          <w:p>
            <w:pPr>
              <w:bidi/>
              <w:spacing w:after="40" w:before="40" w:line="240"/>
              <w:jc w:val="right"/>
            </w:pPr>
            <w:r>
              <w:rPr>
                <w:rFonts w:ascii="Times New Roman" w:cs="David" w:eastAsia="David" w:hAnsi="Times New Roman"/>
                <w:b/>
                <w:bCs/>
                <w:i w:val="false"/>
                <w:iCs w:val="false"/>
                <w:sz w:val="21"/>
                <w:szCs w:val="21"/>
                <w:rtl/>
              </w:rPr>
              <w:t xml:space="preserve">תת-מערכה (Subphylum)</w:t>
            </w:r>
          </w:p>
        </w:tc>
        <w:tc>
          <w:tcPr>
            <w:tcW w:type="dxa" w:w="3400"/>
            <w:tcMar>
              <w:top w:type="dxa" w:w="60"/>
              <w:left w:type="dxa" w:w="90"/>
              <w:bottom w:type="dxa" w:w="60"/>
              <w:right w:type="dxa" w:w="90"/>
            </w:tcMar>
          </w:tcPr>
          <w:p>
            <w:pPr>
              <w:bidi/>
              <w:spacing w:after="40" w:before="40" w:line="240"/>
              <w:jc w:val="right"/>
            </w:pPr>
            <w:r>
              <w:rPr>
                <w:rFonts w:ascii="Times New Roman" w:cs="David" w:eastAsia="David" w:hAnsi="Times New Roman"/>
                <w:b w:val="false"/>
                <w:bCs w:val="false"/>
                <w:i w:val="false"/>
                <w:iCs w:val="false"/>
                <w:sz w:val="21"/>
                <w:szCs w:val="21"/>
                <w:rtl/>
              </w:rPr>
              <w:t xml:space="preserve">שישה-רגליים (Hexapoda)</w:t>
            </w:r>
          </w:p>
        </w:tc>
      </w:tr>
      <w:tr>
        <w:tc>
          <w:tcPr>
            <w:tcW w:type="dxa" w:w="3000"/>
            <w:shd w:fill="F2F2F2" w:color="auto" w:val="clear"/>
            <w:tcMar>
              <w:top w:type="dxa" w:w="60"/>
              <w:left w:type="dxa" w:w="90"/>
              <w:bottom w:type="dxa" w:w="60"/>
              <w:right w:type="dxa" w:w="90"/>
            </w:tcMar>
          </w:tcPr>
          <w:p>
            <w:pPr>
              <w:bidi/>
              <w:spacing w:after="40" w:before="40" w:line="240"/>
              <w:jc w:val="right"/>
            </w:pPr>
            <w:r>
              <w:rPr>
                <w:rFonts w:ascii="Times New Roman" w:cs="David" w:eastAsia="David" w:hAnsi="Times New Roman"/>
                <w:b/>
                <w:bCs/>
                <w:i w:val="false"/>
                <w:iCs w:val="false"/>
                <w:sz w:val="21"/>
                <w:szCs w:val="21"/>
                <w:rtl/>
              </w:rPr>
              <w:t xml:space="preserve">מחלקה (Class)</w:t>
            </w:r>
          </w:p>
        </w:tc>
        <w:tc>
          <w:tcPr>
            <w:tcW w:type="dxa" w:w="3400"/>
            <w:tcMar>
              <w:top w:type="dxa" w:w="60"/>
              <w:left w:type="dxa" w:w="90"/>
              <w:bottom w:type="dxa" w:w="60"/>
              <w:right w:type="dxa" w:w="90"/>
            </w:tcMar>
          </w:tcPr>
          <w:p>
            <w:pPr>
              <w:bidi/>
              <w:spacing w:after="40" w:before="40" w:line="240"/>
              <w:jc w:val="right"/>
            </w:pPr>
            <w:r>
              <w:rPr>
                <w:rFonts w:ascii="Times New Roman" w:cs="David" w:eastAsia="David" w:hAnsi="Times New Roman"/>
                <w:b w:val="false"/>
                <w:bCs w:val="false"/>
                <w:i w:val="false"/>
                <w:iCs w:val="false"/>
                <w:sz w:val="21"/>
                <w:szCs w:val="21"/>
                <w:rtl/>
              </w:rPr>
              <w:t xml:space="preserve">חרקים (Insecta)</w:t>
            </w:r>
          </w:p>
        </w:tc>
      </w:tr>
      <w:tr>
        <w:tc>
          <w:tcPr>
            <w:tcW w:type="dxa" w:w="3000"/>
            <w:shd w:fill="F2F2F2" w:color="auto" w:val="clear"/>
            <w:tcMar>
              <w:top w:type="dxa" w:w="60"/>
              <w:left w:type="dxa" w:w="90"/>
              <w:bottom w:type="dxa" w:w="60"/>
              <w:right w:type="dxa" w:w="90"/>
            </w:tcMar>
          </w:tcPr>
          <w:p>
            <w:pPr>
              <w:bidi/>
              <w:spacing w:after="40" w:before="40" w:line="240"/>
              <w:jc w:val="right"/>
            </w:pPr>
            <w:r>
              <w:rPr>
                <w:rFonts w:ascii="Times New Roman" w:cs="David" w:eastAsia="David" w:hAnsi="Times New Roman"/>
                <w:b/>
                <w:bCs/>
                <w:i w:val="false"/>
                <w:iCs w:val="false"/>
                <w:sz w:val="21"/>
                <w:szCs w:val="21"/>
                <w:rtl/>
              </w:rPr>
              <w:t xml:space="preserve">סדרה (Order)</w:t>
            </w:r>
          </w:p>
        </w:tc>
        <w:tc>
          <w:tcPr>
            <w:tcW w:type="dxa" w:w="3400"/>
            <w:tcMar>
              <w:top w:type="dxa" w:w="60"/>
              <w:left w:type="dxa" w:w="90"/>
              <w:bottom w:type="dxa" w:w="60"/>
              <w:right w:type="dxa" w:w="90"/>
            </w:tcMar>
          </w:tcPr>
          <w:p>
            <w:pPr>
              <w:bidi/>
              <w:spacing w:after="40" w:before="40" w:line="240"/>
              <w:jc w:val="right"/>
            </w:pPr>
            <w:r>
              <w:rPr>
                <w:rFonts w:ascii="Times New Roman" w:cs="David" w:eastAsia="David" w:hAnsi="Times New Roman"/>
                <w:b w:val="false"/>
                <w:bCs w:val="false"/>
                <w:i w:val="false"/>
                <w:iCs w:val="false"/>
                <w:sz w:val="21"/>
                <w:szCs w:val="21"/>
                <w:rtl/>
              </w:rPr>
              <w:t xml:space="preserve">דבוראים (Hymenoptera)</w:t>
            </w:r>
          </w:p>
        </w:tc>
      </w:tr>
      <w:tr>
        <w:tc>
          <w:tcPr>
            <w:tcW w:type="dxa" w:w="3000"/>
            <w:shd w:fill="F2F2F2" w:color="auto" w:val="clear"/>
            <w:tcMar>
              <w:top w:type="dxa" w:w="60"/>
              <w:left w:type="dxa" w:w="90"/>
              <w:bottom w:type="dxa" w:w="60"/>
              <w:right w:type="dxa" w:w="90"/>
            </w:tcMar>
          </w:tcPr>
          <w:p>
            <w:pPr>
              <w:bidi/>
              <w:spacing w:after="40" w:before="40" w:line="240"/>
              <w:jc w:val="right"/>
            </w:pPr>
            <w:r>
              <w:rPr>
                <w:rFonts w:ascii="Times New Roman" w:cs="David" w:eastAsia="David" w:hAnsi="Times New Roman"/>
                <w:b/>
                <w:bCs/>
                <w:i w:val="false"/>
                <w:iCs w:val="false"/>
                <w:sz w:val="21"/>
                <w:szCs w:val="21"/>
                <w:rtl/>
              </w:rPr>
              <w:t xml:space="preserve">תת-סדרה (Suborder)</w:t>
            </w:r>
          </w:p>
        </w:tc>
        <w:tc>
          <w:tcPr>
            <w:tcW w:type="dxa" w:w="3400"/>
            <w:tcMar>
              <w:top w:type="dxa" w:w="60"/>
              <w:left w:type="dxa" w:w="90"/>
              <w:bottom w:type="dxa" w:w="60"/>
              <w:right w:type="dxa" w:w="90"/>
            </w:tcMar>
          </w:tcPr>
          <w:p>
            <w:pPr>
              <w:bidi/>
              <w:spacing w:after="40" w:before="40" w:line="240"/>
              <w:jc w:val="right"/>
            </w:pPr>
            <w:r>
              <w:rPr>
                <w:rFonts w:ascii="Times New Roman" w:cs="David" w:eastAsia="David" w:hAnsi="Times New Roman"/>
                <w:b w:val="false"/>
                <w:bCs w:val="false"/>
                <w:i w:val="false"/>
                <w:iCs w:val="false"/>
                <w:sz w:val="21"/>
                <w:szCs w:val="21"/>
                <w:rtl/>
              </w:rPr>
              <w:t xml:space="preserve">בעלי מותן (Apocrita)</w:t>
            </w:r>
          </w:p>
        </w:tc>
      </w:tr>
      <w:tr>
        <w:tc>
          <w:tcPr>
            <w:tcW w:type="dxa" w:w="3000"/>
            <w:shd w:fill="F2F2F2" w:color="auto" w:val="clear"/>
            <w:tcMar>
              <w:top w:type="dxa" w:w="60"/>
              <w:left w:type="dxa" w:w="90"/>
              <w:bottom w:type="dxa" w:w="60"/>
              <w:right w:type="dxa" w:w="90"/>
            </w:tcMar>
          </w:tcPr>
          <w:p>
            <w:pPr>
              <w:bidi/>
              <w:spacing w:after="40" w:before="40" w:line="240"/>
              <w:jc w:val="right"/>
            </w:pPr>
            <w:r>
              <w:rPr>
                <w:rFonts w:ascii="Times New Roman" w:cs="David" w:eastAsia="David" w:hAnsi="Times New Roman"/>
                <w:b/>
                <w:bCs/>
                <w:i w:val="false"/>
                <w:iCs w:val="false"/>
                <w:sz w:val="21"/>
                <w:szCs w:val="21"/>
                <w:rtl/>
              </w:rPr>
              <w:t xml:space="preserve">משפחה (Family)</w:t>
            </w:r>
          </w:p>
        </w:tc>
        <w:tc>
          <w:tcPr>
            <w:tcW w:type="dxa" w:w="3400"/>
            <w:tcMar>
              <w:top w:type="dxa" w:w="60"/>
              <w:left w:type="dxa" w:w="90"/>
              <w:bottom w:type="dxa" w:w="60"/>
              <w:right w:type="dxa" w:w="90"/>
            </w:tcMar>
          </w:tcPr>
          <w:p>
            <w:pPr>
              <w:bidi/>
              <w:spacing w:after="40" w:before="40" w:line="240"/>
              <w:jc w:val="right"/>
            </w:pPr>
            <w:r>
              <w:rPr>
                <w:rFonts w:ascii="Times New Roman" w:cs="David" w:eastAsia="David" w:hAnsi="Times New Roman"/>
                <w:b w:val="false"/>
                <w:bCs w:val="false"/>
                <w:i w:val="false"/>
                <w:iCs w:val="false"/>
                <w:sz w:val="21"/>
                <w:szCs w:val="21"/>
                <w:rtl/>
              </w:rPr>
              <w:t xml:space="preserve">צרעיים (Vespidae)</w:t>
            </w:r>
          </w:p>
        </w:tc>
      </w:tr>
      <w:tr>
        <w:tc>
          <w:tcPr>
            <w:tcW w:type="dxa" w:w="3000"/>
            <w:shd w:fill="F2F2F2" w:color="auto" w:val="clear"/>
            <w:tcMar>
              <w:top w:type="dxa" w:w="60"/>
              <w:left w:type="dxa" w:w="90"/>
              <w:bottom w:type="dxa" w:w="60"/>
              <w:right w:type="dxa" w:w="90"/>
            </w:tcMar>
          </w:tcPr>
          <w:p>
            <w:pPr>
              <w:bidi/>
              <w:spacing w:after="40" w:before="40" w:line="240"/>
              <w:jc w:val="right"/>
            </w:pPr>
            <w:r>
              <w:rPr>
                <w:rFonts w:ascii="Times New Roman" w:cs="David" w:eastAsia="David" w:hAnsi="Times New Roman"/>
                <w:b/>
                <w:bCs/>
                <w:i w:val="false"/>
                <w:iCs w:val="false"/>
                <w:sz w:val="21"/>
                <w:szCs w:val="21"/>
                <w:rtl/>
              </w:rPr>
              <w:t xml:space="preserve">תת-משפחה (Subfamily)</w:t>
            </w:r>
          </w:p>
        </w:tc>
        <w:tc>
          <w:tcPr>
            <w:tcW w:type="dxa" w:w="3400"/>
            <w:tcMar>
              <w:top w:type="dxa" w:w="60"/>
              <w:left w:type="dxa" w:w="90"/>
              <w:bottom w:type="dxa" w:w="60"/>
              <w:right w:type="dxa" w:w="90"/>
            </w:tcMar>
          </w:tcPr>
          <w:p>
            <w:pPr>
              <w:bidi/>
              <w:spacing w:after="40" w:before="40" w:line="240"/>
              <w:jc w:val="right"/>
            </w:pPr>
            <w:r>
              <w:rPr>
                <w:rFonts w:ascii="Times New Roman" w:cs="David" w:eastAsia="David" w:hAnsi="Times New Roman"/>
                <w:b w:val="false"/>
                <w:bCs w:val="false"/>
                <w:i w:val="false"/>
                <w:iCs w:val="false"/>
                <w:sz w:val="21"/>
                <w:szCs w:val="21"/>
                <w:rtl/>
              </w:rPr>
              <w:t xml:space="preserve">Vespinae</w:t>
            </w:r>
          </w:p>
        </w:tc>
      </w:tr>
      <w:tr>
        <w:tc>
          <w:tcPr>
            <w:tcW w:type="dxa" w:w="3000"/>
            <w:shd w:fill="F2F2F2" w:color="auto" w:val="clear"/>
            <w:tcMar>
              <w:top w:type="dxa" w:w="60"/>
              <w:left w:type="dxa" w:w="90"/>
              <w:bottom w:type="dxa" w:w="60"/>
              <w:right w:type="dxa" w:w="90"/>
            </w:tcMar>
          </w:tcPr>
          <w:p>
            <w:pPr>
              <w:bidi/>
              <w:spacing w:after="40" w:before="40" w:line="240"/>
              <w:jc w:val="right"/>
            </w:pPr>
            <w:r>
              <w:rPr>
                <w:rFonts w:ascii="Times New Roman" w:cs="David" w:eastAsia="David" w:hAnsi="Times New Roman"/>
                <w:b/>
                <w:bCs/>
                <w:i w:val="false"/>
                <w:iCs w:val="false"/>
                <w:sz w:val="21"/>
                <w:szCs w:val="21"/>
                <w:rtl/>
              </w:rPr>
              <w:t xml:space="preserve">סוג (Genus)</w:t>
            </w:r>
          </w:p>
        </w:tc>
        <w:tc>
          <w:tcPr>
            <w:tcW w:type="dxa" w:w="3400"/>
            <w:tcMar>
              <w:top w:type="dxa" w:w="60"/>
              <w:left w:type="dxa" w:w="90"/>
              <w:bottom w:type="dxa" w:w="60"/>
              <w:right w:type="dxa" w:w="90"/>
            </w:tcMar>
          </w:tcPr>
          <w:p>
            <w:pPr>
              <w:bidi/>
              <w:spacing w:after="40" w:before="40" w:line="240"/>
              <w:jc w:val="right"/>
            </w:pPr>
            <w:r>
              <w:rPr>
                <w:rFonts w:ascii="Times New Roman" w:cs="David" w:eastAsia="David" w:hAnsi="Times New Roman"/>
                <w:b w:val="false"/>
                <w:bCs w:val="false"/>
                <w:i w:val="false"/>
                <w:iCs w:val="false"/>
                <w:sz w:val="21"/>
                <w:szCs w:val="21"/>
                <w:rtl/>
              </w:rPr>
              <w:t xml:space="preserve">צרעה (Vespa)</w:t>
            </w:r>
          </w:p>
        </w:tc>
      </w:tr>
      <w:tr>
        <w:tc>
          <w:tcPr>
            <w:tcW w:type="dxa" w:w="3000"/>
            <w:shd w:fill="F2F2F2" w:color="auto" w:val="clear"/>
            <w:tcMar>
              <w:top w:type="dxa" w:w="60"/>
              <w:left w:type="dxa" w:w="90"/>
              <w:bottom w:type="dxa" w:w="60"/>
              <w:right w:type="dxa" w:w="90"/>
            </w:tcMar>
          </w:tcPr>
          <w:p>
            <w:pPr>
              <w:bidi/>
              <w:spacing w:after="40" w:before="40" w:line="240"/>
              <w:jc w:val="right"/>
            </w:pPr>
            <w:r>
              <w:rPr>
                <w:rFonts w:ascii="Times New Roman" w:cs="David" w:eastAsia="David" w:hAnsi="Times New Roman"/>
                <w:b/>
                <w:bCs/>
                <w:i w:val="false"/>
                <w:iCs w:val="false"/>
                <w:sz w:val="21"/>
                <w:szCs w:val="21"/>
                <w:rtl/>
              </w:rPr>
              <w:t xml:space="preserve">מין (Species)</w:t>
            </w:r>
          </w:p>
        </w:tc>
        <w:tc>
          <w:tcPr>
            <w:tcW w:type="dxa" w:w="3400"/>
            <w:tcMar>
              <w:top w:type="dxa" w:w="60"/>
              <w:left w:type="dxa" w:w="90"/>
              <w:bottom w:type="dxa" w:w="60"/>
              <w:right w:type="dxa" w:w="90"/>
            </w:tcMar>
          </w:tcPr>
          <w:p>
            <w:pPr>
              <w:bidi/>
              <w:spacing w:after="40" w:before="40" w:line="240"/>
              <w:jc w:val="right"/>
            </w:pPr>
            <w:r>
              <w:rPr>
                <w:rFonts w:ascii="Times New Roman" w:cs="David" w:eastAsia="David" w:hAnsi="Times New Roman"/>
                <w:b w:val="false"/>
                <w:bCs w:val="false"/>
                <w:i w:val="false"/>
                <w:iCs w:val="false"/>
                <w:sz w:val="21"/>
                <w:szCs w:val="21"/>
                <w:rtl/>
              </w:rPr>
              <w:t xml:space="preserve">צרעה מזרחית (Vespa orientalis Linnaeus, 1771)</w:t>
            </w:r>
          </w:p>
        </w:tc>
      </w:tr>
    </w:tbl>
    <w:p>
      <w:pPr>
        <w:spacing w:after="200"/>
      </w:pPr>
    </w:p>
    <w:p>
      <w:pPr>
        <w:bidi/>
        <w:spacing w:after="100" w:before="160" w:line="360"/>
        <w:jc w:val="right"/>
      </w:pPr>
      <w:r>
        <w:rPr>
          <w:rFonts w:ascii="Times New Roman" w:cs="David" w:eastAsia="David" w:hAnsi="Times New Roman"/>
          <w:b/>
          <w:bCs/>
          <w:i w:val="false"/>
          <w:iCs w:val="false"/>
          <w:sz w:val="24"/>
          <w:szCs w:val="24"/>
          <w:rtl/>
        </w:rPr>
        <w:t xml:space="preserve">מידע כללי</w:t>
      </w:r>
    </w:p>
    <w:p>
      <w:pPr>
        <w:bidi/>
        <w:spacing w:after="120" w:before="0" w:line="360"/>
        <w:jc w:val="both"/>
      </w:pPr>
      <w:r>
        <w:rPr>
          <w:rFonts w:ascii="Times New Roman" w:cs="David" w:eastAsia="David" w:hAnsi="Times New Roman"/>
          <w:b w:val="false"/>
          <w:bCs w:val="false"/>
          <w:i w:val="false"/>
          <w:iCs w:val="false"/>
          <w:sz w:val="24"/>
          <w:szCs w:val="24"/>
          <w:rtl/>
        </w:rPr>
        <w:t xml:space="preserve">הצרעה המזרחית היא הגדולה שבצרעיים החברתיים בישראל. אורך גופה של פועלת נע בין 20 ל-25 מ"מ, והמלכה מגיעה לכ-35 מ"מ. הגוף חום-אדמדם, ובולטות בו רצועה צהובה רחבה על טבעות הבטן וכתם צהוב בין העיניים. הגוף בנוי משלושה חלקים, ראש, חזה ובטן, ומותן דקה מחברת בין החזה לבטן ומאפשרת לבטן טווח תנועה גדול, מאפיין של תת-סדרת בעלי המותן (Spradbery, 1973).</w:t>
      </w:r>
    </w:p>
    <w:p>
      <w:pPr>
        <w:bidi/>
        <w:spacing w:after="120" w:before="0" w:line="360"/>
        <w:jc w:val="both"/>
      </w:pPr>
      <w:r>
        <w:rPr>
          <w:rFonts w:ascii="Times New Roman" w:cs="David" w:eastAsia="David" w:hAnsi="Times New Roman"/>
          <w:b w:val="false"/>
          <w:bCs w:val="false"/>
          <w:i w:val="false"/>
          <w:iCs w:val="false"/>
          <w:sz w:val="24"/>
          <w:szCs w:val="24"/>
          <w:rtl/>
        </w:rPr>
        <w:t xml:space="preserve">המושבה חד-שנתית. מלכה מופרית עוברת את החורף בתרדמה בסדק מוגן, ובאביב היא מקימה לבדה קן קטן ומגדלת בעצמה דור ראשון של פועלות. הקן נבנה מסיבי עץ ומאדמה שנלעסו ומעורבבו ברוק, ובישראל הוא נמצא לרוב מתחת לפני הקרקע, בחללי קירות, בין אבנים או בארגזי כוורות נטושים. משהוקם הדור הראשון עוברת המלכה להטלה בלבד, והפועלות נוטלות על עצמן את ההזנה, הבנייה וההגנה. בשלהי הקיץ ובסתיו מגיעה המושבה לשיאה ומייצרת זכרים ומלכות חדשות; לאחר ההזדווגות המושבה מתפרקת, וכל פרטיה מתים למעט המלכות המופרות (Spradbery, 1973). המושבה עונה על שלושת הקריטריונים של אוסוציאליות, רמת הארגון החברתי הגבוהה ביותר הידועה בקרב חרקים: חלוקת תפקידים רבייתית בין קסטה עקרה של פועלות לקסטה רבייתית של מלכה וזכרים, דורות חופפים החיים יחד באותו קן, וטיפול בצאצאים המוטל על הפועלות ולא על האם בלבד (ויינברגר, 2025).</w:t>
      </w:r>
    </w:p>
    <w:p>
      <w:pPr>
        <w:bidi/>
        <w:spacing w:after="120" w:before="0" w:line="360"/>
        <w:jc w:val="both"/>
      </w:pPr>
      <w:r>
        <w:rPr>
          <w:rFonts w:ascii="Times New Roman" w:cs="David" w:eastAsia="David" w:hAnsi="Times New Roman"/>
          <w:b w:val="false"/>
          <w:bCs w:val="false"/>
          <w:i w:val="false"/>
          <w:iCs w:val="false"/>
          <w:sz w:val="24"/>
          <w:szCs w:val="24"/>
          <w:rtl/>
        </w:rPr>
        <w:t xml:space="preserve">חלוקת התזונה בין הדורות היא מאפיין מרכזי בביולוגיה של המין. הפועלות הבוגרות ניזונות בעיקר מפחמימות: צוף, פירות בשלים וטל דבש. הזחלים, לעומת זאת, מקבלים מזון חלבוני שהפועלות צדות עבורם, ובכלל זה חרקים, נבלות ושאריות בשר. בתמורה מפרישים הזחלים נוזל עשיר בסוכרים שהבוגרות לוקקות ממנו, תופעה שנחקרה בישראל והוסברה כמסלול שבו הזחל מייצר סוכר מחומצות אמינו (Ishay &amp; Ikan, 1968). מחקר ישראלי עדכני מצא כי דווקא התלות ההפוכה הזו, שבה הבוגרות ניזונות מהפרשות הצעירים, היא שמחזיקה את המבנה החברתי של המושבה (ויינברגר, 2025). זה גם מסביר מדוע מושבה שאיבדה את הזחלים שלה מתמוטטת במהירות.</w:t>
      </w:r>
    </w:p>
    <w:p>
      <w:pPr>
        <w:bidi/>
        <w:spacing w:after="120" w:before="0" w:line="360"/>
        <w:jc w:val="both"/>
      </w:pPr>
      <w:r>
        <w:rPr>
          <w:rFonts w:ascii="Times New Roman" w:cs="David" w:eastAsia="David" w:hAnsi="Times New Roman"/>
          <w:b w:val="false"/>
          <w:bCs w:val="false"/>
          <w:i w:val="false"/>
          <w:iCs w:val="false"/>
          <w:sz w:val="24"/>
          <w:szCs w:val="24"/>
          <w:rtl/>
        </w:rPr>
        <w:t xml:space="preserve">תכונה ייחודית שזכתה לתשומת לב מחקרית היא הרצועה הצהובה. בדיקה של שכבת החוץ בשלד החיצוני מצאה בה את הפיגמנט קסנתופטרין ומבנה חוזר של חריצים זעירים, ולצדם הפרש מתח קטן שנמדד בתנאי תאורה. החוקרים הציעו כי מדובר במנגנון הקוצר אנרגיה מאור השמש (Plotkin et al., 2010). ההסבר הזה שנוי במחלוקת ולא התקבל כמוסכמה, אך התופעה שהוא בא להסביר אינה שנויה במחלוקת: בשונה מרוב הצרעיים, שיא הפעילות של הצרעה המזרחית חל דווקא בשעות החמות של היום. ויסות החום ברמת הקן מדויק אף יותר: המושבה מחממת את הקן כשקר ומקררת אותו כשחם, ומחזיקה אותו בטווח של מעלות בודדות, כ-28 מעלות בתל אביב וכ-35 מעלות בים המלח, ביום ובלילה כאחד (ויינברגר, 2025).</w:t>
      </w:r>
    </w:p>
    <w:p>
      <w:pPr>
        <w:bidi/>
        <w:spacing w:after="120" w:before="0" w:line="360"/>
        <w:jc w:val="both"/>
      </w:pPr>
      <w:r>
        <w:rPr>
          <w:rFonts w:ascii="Times New Roman" w:cs="David" w:eastAsia="David" w:hAnsi="Times New Roman"/>
          <w:b w:val="false"/>
          <w:bCs w:val="false"/>
          <w:i w:val="false"/>
          <w:iCs w:val="false"/>
          <w:sz w:val="24"/>
          <w:szCs w:val="24"/>
          <w:rtl/>
        </w:rPr>
        <w:t xml:space="preserve">מבחינת האדם מדובר בבעל חיים דו-פרצופי. בישראל היא נפוצה כמעט בכל חלקי הארץ, ממורדות החרמון בגובה 1,400 מטר ועד אילת, ועמידותה בתנאי מדבר קיצוניים היא חלק מההסבר לכך (ויינברגר, 2025). מצד אחד היא טורפת כמויות גדולות של חרקים, מסלקת פגרים ומאביקה פרחים. תפקיד נוסף ופחות מוכר הוא הפצת שמרים: הצרעות נושאות בגופן זנים רבים של שמרי יין ומעבירות אותם אל הענבים בסתיו, ובלעדיהן כמעט שלא היו מגיעים שמרים טבעיים אל הפרי. באותו הקשר נמצאה אצלן עמידות חריגה לאלכוהול, וצרעות שגודלו במעבדה על אלכוהול בריכוז 80 אחוז כמקור האנרגיה היחיד שלהן לא הראו פגיעה בתוחלת החיים או בהתנהגות (ויינברגר, 2025).</w:t>
      </w:r>
    </w:p>
    <w:p>
      <w:pPr>
        <w:bidi/>
        <w:spacing w:after="120" w:before="0" w:line="360"/>
        <w:jc w:val="both"/>
      </w:pPr>
      <w:r>
        <w:rPr>
          <w:rFonts w:ascii="Times New Roman" w:cs="David" w:eastAsia="David" w:hAnsi="Times New Roman"/>
          <w:b w:val="false"/>
          <w:bCs w:val="false"/>
          <w:i w:val="false"/>
          <w:iCs w:val="false"/>
          <w:sz w:val="24"/>
          <w:szCs w:val="24"/>
          <w:rtl/>
        </w:rPr>
        <w:t xml:space="preserve">מצד שני היא תוקפת כוורות דבורים וגורמת נזק כלכלי ניכר לענף הדבש, ועקיצתה כואבת ועלולה לגרום לתגובה אלרגית מסכנת חיים אצל אנשים רגישים, אף שהיא אינה נוטה לתקוף ועוקצת בעיקר בהגנה. האדם אינו מאיים עליה ממש, ובשנים האחרונות, בין השאר בשל התחממות האקלים, היא מרחיבה את תפוצתה אל אזורים שלא התאימו לה בעבר. כך התבססה גם מחוץ לתחום תפוצתה המקורי, בין השאר בדרום אמריקה ובאגן הים התיכון המערבי, ומקובל לראות בה מין פולש בעל פוטנציאל נזק (ויינברגר, 2025; Werenkraut et al., 2022).</w:t>
      </w:r>
    </w:p>
    <w:tbl>
      <w:tblPr>
        <w:bidiVisual/>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Mar>
              <w:top w:type="dxa" w:w="400"/>
              <w:left w:type="dxa" w:w="200"/>
              <w:bottom w:type="dxa" w:w="400"/>
              <w:right w:type="dxa" w:w="200"/>
            </w:tcMar>
          </w:tcPr>
          <w:p>
            <w:pPr>
              <w:bidi/>
              <w:spacing w:line="300"/>
              <w:jc w:val="center"/>
            </w:pPr>
            <w:r>
              <w:rPr>
                <w:rFonts w:ascii="Times New Roman" w:cs="David" w:eastAsia="David" w:hAnsi="Times New Roman"/>
                <w:b w:val="false"/>
                <w:bCs w:val="false"/>
                <w:i w:val="false"/>
                <w:iCs w:val="false"/>
                <w:color w:val="C00000"/>
                <w:sz w:val="22"/>
                <w:szCs w:val="22"/>
                <w:rtl/>
              </w:rPr>
              <w:t xml:space="preserve">כאן יש להכניס את התמונה. להוריד מהקישור שבשורת המקור למטה (בעמוד הקובץ בוויקישיתוף לוחצים על התמונה ואז על Original file), ולמחוק מסגרת זו.</w:t>
            </w:r>
          </w:p>
        </w:tc>
      </w:tr>
    </w:tbl>
    <w:p>
      <w:pPr>
        <w:bidi/>
        <w:spacing w:after="40" w:before="120" w:line="300"/>
        <w:jc w:val="right"/>
      </w:pPr>
      <w:r>
        <w:rPr>
          <w:rFonts w:ascii="Times New Roman" w:cs="David" w:eastAsia="David" w:hAnsi="Times New Roman"/>
          <w:b/>
          <w:bCs/>
          <w:i w:val="false"/>
          <w:iCs w:val="false"/>
          <w:sz w:val="21"/>
          <w:szCs w:val="21"/>
          <w:rtl/>
        </w:rPr>
        <w:t xml:space="preserve">תמונה 1. </w:t>
      </w:r>
      <w:r>
        <w:rPr>
          <w:rFonts w:ascii="Times New Roman" w:cs="David" w:eastAsia="David" w:hAnsi="Times New Roman"/>
          <w:b w:val="false"/>
          <w:bCs w:val="false"/>
          <w:i w:val="false"/>
          <w:iCs w:val="false"/>
          <w:sz w:val="21"/>
          <w:szCs w:val="21"/>
          <w:rtl/>
        </w:rPr>
        <w:t xml:space="preserve">צרעה מזרחית (Vespa orientalis) בוגרת. ניכרות בה הרצועה הצהובה הרחבה על טבעות הבטן והכתם הצהוב שבין העיניים.</w:t>
      </w:r>
    </w:p>
    <w:p>
      <w:pPr>
        <w:bidi/>
        <w:spacing w:after="200" w:before="0" w:line="300"/>
        <w:jc w:val="right"/>
      </w:pPr>
      <w:r>
        <w:rPr>
          <w:rFonts w:ascii="Times New Roman" w:cs="David" w:eastAsia="David" w:hAnsi="Times New Roman"/>
          <w:b w:val="false"/>
          <w:bCs w:val="false"/>
          <w:i w:val="false"/>
          <w:iCs w:val="false"/>
          <w:sz w:val="20"/>
          <w:szCs w:val="20"/>
          <w:rtl/>
        </w:rPr>
        <w:t xml:space="preserve">מתוך </w:t>
      </w:r>
      <w:r>
        <w:rPr>
          <w:rFonts w:ascii="Times New Roman" w:cs="David" w:eastAsia="David" w:hAnsi="Times New Roman"/>
          <w:b w:val="false"/>
          <w:bCs w:val="false"/>
          <w:i/>
          <w:iCs/>
          <w:sz w:val="20"/>
          <w:szCs w:val="20"/>
          <w:rtl/>
        </w:rPr>
        <w:t xml:space="preserve">Oriental hornet (Vespa orientalis)</w:t>
      </w:r>
      <w:r>
        <w:rPr>
          <w:rFonts w:ascii="Times New Roman" w:cs="David" w:eastAsia="David" w:hAnsi="Times New Roman"/>
          <w:b w:val="false"/>
          <w:bCs w:val="false"/>
          <w:i w:val="false"/>
          <w:iCs w:val="false"/>
          <w:sz w:val="20"/>
          <w:szCs w:val="20"/>
          <w:rtl/>
        </w:rPr>
        <w:t xml:space="preserve"> [תצלום], מאת Charlesjsharp, ויקישיתוף (ל.ת.). </w:t>
      </w:r>
      <w:r>
        <w:rPr>
          <w:rFonts w:ascii="Times New Roman" w:cs="David" w:eastAsia="David" w:hAnsi="Times New Roman"/>
          <w:b w:val="false"/>
          <w:bCs w:val="false"/>
          <w:i w:val="false"/>
          <w:iCs w:val="false"/>
          <w:sz w:val="20"/>
          <w:szCs w:val="20"/>
          <w:rtl/>
        </w:rPr>
        <w:t xml:space="preserve">https://commons.wikimedia.org/wiki/File:Oriental_hornet_(Vespa_orientalis).jpg</w:t>
      </w:r>
      <w:r>
        <w:rPr>
          <w:rFonts w:ascii="Times New Roman" w:cs="David" w:eastAsia="David" w:hAnsi="Times New Roman"/>
          <w:b w:val="false"/>
          <w:bCs w:val="false"/>
          <w:i w:val="false"/>
          <w:iCs w:val="false"/>
          <w:sz w:val="20"/>
          <w:szCs w:val="20"/>
          <w:rtl/>
        </w:rPr>
        <w:t xml:space="preserve"> רישיון CC BY-SA 4.0.</w:t>
      </w:r>
    </w:p>
    <w:p>
      <w:pPr>
        <w:pageBreakBefore/>
        <w:bidi/>
        <w:spacing w:after="120" w:before="200" w:line="360"/>
        <w:jc w:val="right"/>
      </w:pPr>
      <w:r>
        <w:rPr>
          <w:rFonts w:ascii="Times New Roman" w:cs="David" w:eastAsia="David" w:hAnsi="Times New Roman"/>
          <w:b/>
          <w:bCs/>
          <w:i w:val="false"/>
          <w:iCs w:val="false"/>
          <w:sz w:val="26"/>
          <w:szCs w:val="26"/>
          <w:rtl/>
        </w:rPr>
        <w:t xml:space="preserve">השממית המצויה (Hemidactylus turcicus)</w:t>
      </w:r>
    </w:p>
    <w:p>
      <w:pPr>
        <w:bidi/>
        <w:spacing w:after="100" w:before="160" w:line="360"/>
        <w:jc w:val="right"/>
      </w:pPr>
      <w:r>
        <w:rPr>
          <w:rFonts w:ascii="Times New Roman" w:cs="David" w:eastAsia="David" w:hAnsi="Times New Roman"/>
          <w:b/>
          <w:bCs/>
          <w:i w:val="false"/>
          <w:iCs w:val="false"/>
          <w:sz w:val="24"/>
          <w:szCs w:val="24"/>
          <w:rtl/>
        </w:rPr>
        <w:t xml:space="preserve">מיון סיסטמטי</w:t>
      </w:r>
    </w:p>
    <w:tbl>
      <w:tblPr>
        <w:bidiVisual/>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tblGrid>
      <w:tr>
        <w:tc>
          <w:tcPr>
            <w:tcW w:type="dxa" w:w="3000"/>
            <w:shd w:fill="D9D9D9" w:color="auto" w:val="clear"/>
            <w:tcMar>
              <w:top w:type="dxa" w:w="60"/>
              <w:left w:type="dxa" w:w="90"/>
              <w:bottom w:type="dxa" w:w="60"/>
              <w:right w:type="dxa" w:w="90"/>
            </w:tcMar>
          </w:tcPr>
          <w:p>
            <w:pPr>
              <w:bidi/>
              <w:spacing w:after="40" w:before="40" w:line="240"/>
              <w:jc w:val="right"/>
            </w:pPr>
            <w:r>
              <w:rPr>
                <w:rFonts w:ascii="Times New Roman" w:cs="David" w:eastAsia="David" w:hAnsi="Times New Roman"/>
                <w:b/>
                <w:bCs/>
                <w:i w:val="false"/>
                <w:iCs w:val="false"/>
                <w:sz w:val="21"/>
                <w:szCs w:val="21"/>
                <w:rtl/>
              </w:rPr>
              <w:t xml:space="preserve">דרגת המיון</w:t>
            </w:r>
          </w:p>
        </w:tc>
        <w:tc>
          <w:tcPr>
            <w:tcW w:type="dxa" w:w="3400"/>
            <w:tcMar>
              <w:top w:type="dxa" w:w="60"/>
              <w:left w:type="dxa" w:w="90"/>
              <w:bottom w:type="dxa" w:w="60"/>
              <w:right w:type="dxa" w:w="90"/>
            </w:tcMar>
          </w:tcPr>
          <w:p>
            <w:pPr>
              <w:bidi/>
              <w:spacing w:after="40" w:before="40" w:line="240"/>
              <w:jc w:val="right"/>
            </w:pPr>
            <w:r>
              <w:rPr>
                <w:rFonts w:ascii="Times New Roman" w:cs="David" w:eastAsia="David" w:hAnsi="Times New Roman"/>
                <w:b/>
                <w:bCs/>
                <w:i w:val="false"/>
                <w:iCs w:val="false"/>
                <w:sz w:val="21"/>
                <w:szCs w:val="21"/>
                <w:rtl/>
              </w:rPr>
              <w:t xml:space="preserve">השממית המצויה</w:t>
            </w:r>
          </w:p>
        </w:tc>
      </w:tr>
      <w:tr>
        <w:tc>
          <w:tcPr>
            <w:tcW w:type="dxa" w:w="3000"/>
            <w:shd w:fill="F2F2F2" w:color="auto" w:val="clear"/>
            <w:tcMar>
              <w:top w:type="dxa" w:w="60"/>
              <w:left w:type="dxa" w:w="90"/>
              <w:bottom w:type="dxa" w:w="60"/>
              <w:right w:type="dxa" w:w="90"/>
            </w:tcMar>
          </w:tcPr>
          <w:p>
            <w:pPr>
              <w:bidi/>
              <w:spacing w:after="40" w:before="40" w:line="240"/>
              <w:jc w:val="right"/>
            </w:pPr>
            <w:r>
              <w:rPr>
                <w:rFonts w:ascii="Times New Roman" w:cs="David" w:eastAsia="David" w:hAnsi="Times New Roman"/>
                <w:b/>
                <w:bCs/>
                <w:i w:val="false"/>
                <w:iCs w:val="false"/>
                <w:sz w:val="21"/>
                <w:szCs w:val="21"/>
                <w:rtl/>
              </w:rPr>
              <w:t xml:space="preserve">ממלכה (Kingdom)</w:t>
            </w:r>
          </w:p>
        </w:tc>
        <w:tc>
          <w:tcPr>
            <w:tcW w:type="dxa" w:w="3400"/>
            <w:tcMar>
              <w:top w:type="dxa" w:w="60"/>
              <w:left w:type="dxa" w:w="90"/>
              <w:bottom w:type="dxa" w:w="60"/>
              <w:right w:type="dxa" w:w="90"/>
            </w:tcMar>
          </w:tcPr>
          <w:p>
            <w:pPr>
              <w:bidi/>
              <w:spacing w:after="40" w:before="40" w:line="240"/>
              <w:jc w:val="right"/>
            </w:pPr>
            <w:r>
              <w:rPr>
                <w:rFonts w:ascii="Times New Roman" w:cs="David" w:eastAsia="David" w:hAnsi="Times New Roman"/>
                <w:b w:val="false"/>
                <w:bCs w:val="false"/>
                <w:i w:val="false"/>
                <w:iCs w:val="false"/>
                <w:sz w:val="21"/>
                <w:szCs w:val="21"/>
                <w:rtl/>
              </w:rPr>
              <w:t xml:space="preserve">בעלי חיים (Animalia)</w:t>
            </w:r>
          </w:p>
        </w:tc>
      </w:tr>
      <w:tr>
        <w:tc>
          <w:tcPr>
            <w:tcW w:type="dxa" w:w="3000"/>
            <w:shd w:fill="F2F2F2" w:color="auto" w:val="clear"/>
            <w:tcMar>
              <w:top w:type="dxa" w:w="60"/>
              <w:left w:type="dxa" w:w="90"/>
              <w:bottom w:type="dxa" w:w="60"/>
              <w:right w:type="dxa" w:w="90"/>
            </w:tcMar>
          </w:tcPr>
          <w:p>
            <w:pPr>
              <w:bidi/>
              <w:spacing w:after="40" w:before="40" w:line="240"/>
              <w:jc w:val="right"/>
            </w:pPr>
            <w:r>
              <w:rPr>
                <w:rFonts w:ascii="Times New Roman" w:cs="David" w:eastAsia="David" w:hAnsi="Times New Roman"/>
                <w:b/>
                <w:bCs/>
                <w:i w:val="false"/>
                <w:iCs w:val="false"/>
                <w:sz w:val="21"/>
                <w:szCs w:val="21"/>
                <w:rtl/>
              </w:rPr>
              <w:t xml:space="preserve">מערכה (Phylum)</w:t>
            </w:r>
          </w:p>
        </w:tc>
        <w:tc>
          <w:tcPr>
            <w:tcW w:type="dxa" w:w="3400"/>
            <w:tcMar>
              <w:top w:type="dxa" w:w="60"/>
              <w:left w:type="dxa" w:w="90"/>
              <w:bottom w:type="dxa" w:w="60"/>
              <w:right w:type="dxa" w:w="90"/>
            </w:tcMar>
          </w:tcPr>
          <w:p>
            <w:pPr>
              <w:bidi/>
              <w:spacing w:after="40" w:before="40" w:line="240"/>
              <w:jc w:val="right"/>
            </w:pPr>
            <w:r>
              <w:rPr>
                <w:rFonts w:ascii="Times New Roman" w:cs="David" w:eastAsia="David" w:hAnsi="Times New Roman"/>
                <w:b w:val="false"/>
                <w:bCs w:val="false"/>
                <w:i w:val="false"/>
                <w:iCs w:val="false"/>
                <w:sz w:val="21"/>
                <w:szCs w:val="21"/>
                <w:rtl/>
              </w:rPr>
              <w:t xml:space="preserve">מיתרניים (Chordata)</w:t>
            </w:r>
          </w:p>
        </w:tc>
      </w:tr>
      <w:tr>
        <w:tc>
          <w:tcPr>
            <w:tcW w:type="dxa" w:w="3000"/>
            <w:shd w:fill="F2F2F2" w:color="auto" w:val="clear"/>
            <w:tcMar>
              <w:top w:type="dxa" w:w="60"/>
              <w:left w:type="dxa" w:w="90"/>
              <w:bottom w:type="dxa" w:w="60"/>
              <w:right w:type="dxa" w:w="90"/>
            </w:tcMar>
          </w:tcPr>
          <w:p>
            <w:pPr>
              <w:bidi/>
              <w:spacing w:after="40" w:before="40" w:line="240"/>
              <w:jc w:val="right"/>
            </w:pPr>
            <w:r>
              <w:rPr>
                <w:rFonts w:ascii="Times New Roman" w:cs="David" w:eastAsia="David" w:hAnsi="Times New Roman"/>
                <w:b/>
                <w:bCs/>
                <w:i w:val="false"/>
                <w:iCs w:val="false"/>
                <w:sz w:val="21"/>
                <w:szCs w:val="21"/>
                <w:rtl/>
              </w:rPr>
              <w:t xml:space="preserve">תת-מערכה (Subphylum)</w:t>
            </w:r>
          </w:p>
        </w:tc>
        <w:tc>
          <w:tcPr>
            <w:tcW w:type="dxa" w:w="3400"/>
            <w:tcMar>
              <w:top w:type="dxa" w:w="60"/>
              <w:left w:type="dxa" w:w="90"/>
              <w:bottom w:type="dxa" w:w="60"/>
              <w:right w:type="dxa" w:w="90"/>
            </w:tcMar>
          </w:tcPr>
          <w:p>
            <w:pPr>
              <w:bidi/>
              <w:spacing w:after="40" w:before="40" w:line="240"/>
              <w:jc w:val="right"/>
            </w:pPr>
            <w:r>
              <w:rPr>
                <w:rFonts w:ascii="Times New Roman" w:cs="David" w:eastAsia="David" w:hAnsi="Times New Roman"/>
                <w:b w:val="false"/>
                <w:bCs w:val="false"/>
                <w:i w:val="false"/>
                <w:iCs w:val="false"/>
                <w:sz w:val="21"/>
                <w:szCs w:val="21"/>
                <w:rtl/>
              </w:rPr>
              <w:t xml:space="preserve">בעלי חוליות (Vertebrata)</w:t>
            </w:r>
          </w:p>
        </w:tc>
      </w:tr>
      <w:tr>
        <w:tc>
          <w:tcPr>
            <w:tcW w:type="dxa" w:w="3000"/>
            <w:shd w:fill="F2F2F2" w:color="auto" w:val="clear"/>
            <w:tcMar>
              <w:top w:type="dxa" w:w="60"/>
              <w:left w:type="dxa" w:w="90"/>
              <w:bottom w:type="dxa" w:w="60"/>
              <w:right w:type="dxa" w:w="90"/>
            </w:tcMar>
          </w:tcPr>
          <w:p>
            <w:pPr>
              <w:bidi/>
              <w:spacing w:after="40" w:before="40" w:line="240"/>
              <w:jc w:val="right"/>
            </w:pPr>
            <w:r>
              <w:rPr>
                <w:rFonts w:ascii="Times New Roman" w:cs="David" w:eastAsia="David" w:hAnsi="Times New Roman"/>
                <w:b/>
                <w:bCs/>
                <w:i w:val="false"/>
                <w:iCs w:val="false"/>
                <w:sz w:val="21"/>
                <w:szCs w:val="21"/>
                <w:rtl/>
              </w:rPr>
              <w:t xml:space="preserve">מחלקה (Class)</w:t>
            </w:r>
          </w:p>
        </w:tc>
        <w:tc>
          <w:tcPr>
            <w:tcW w:type="dxa" w:w="3400"/>
            <w:tcMar>
              <w:top w:type="dxa" w:w="60"/>
              <w:left w:type="dxa" w:w="90"/>
              <w:bottom w:type="dxa" w:w="60"/>
              <w:right w:type="dxa" w:w="90"/>
            </w:tcMar>
          </w:tcPr>
          <w:p>
            <w:pPr>
              <w:bidi/>
              <w:spacing w:after="40" w:before="40" w:line="240"/>
              <w:jc w:val="right"/>
            </w:pPr>
            <w:r>
              <w:rPr>
                <w:rFonts w:ascii="Times New Roman" w:cs="David" w:eastAsia="David" w:hAnsi="Times New Roman"/>
                <w:b w:val="false"/>
                <w:bCs w:val="false"/>
                <w:i w:val="false"/>
                <w:iCs w:val="false"/>
                <w:sz w:val="21"/>
                <w:szCs w:val="21"/>
                <w:rtl/>
              </w:rPr>
              <w:t xml:space="preserve">זוחלים (Reptilia)</w:t>
            </w:r>
          </w:p>
        </w:tc>
      </w:tr>
      <w:tr>
        <w:tc>
          <w:tcPr>
            <w:tcW w:type="dxa" w:w="3000"/>
            <w:shd w:fill="F2F2F2" w:color="auto" w:val="clear"/>
            <w:tcMar>
              <w:top w:type="dxa" w:w="60"/>
              <w:left w:type="dxa" w:w="90"/>
              <w:bottom w:type="dxa" w:w="60"/>
              <w:right w:type="dxa" w:w="90"/>
            </w:tcMar>
          </w:tcPr>
          <w:p>
            <w:pPr>
              <w:bidi/>
              <w:spacing w:after="40" w:before="40" w:line="240"/>
              <w:jc w:val="right"/>
            </w:pPr>
            <w:r>
              <w:rPr>
                <w:rFonts w:ascii="Times New Roman" w:cs="David" w:eastAsia="David" w:hAnsi="Times New Roman"/>
                <w:b/>
                <w:bCs/>
                <w:i w:val="false"/>
                <w:iCs w:val="false"/>
                <w:sz w:val="21"/>
                <w:szCs w:val="21"/>
                <w:rtl/>
              </w:rPr>
              <w:t xml:space="preserve">סדרה (Order)</w:t>
            </w:r>
          </w:p>
        </w:tc>
        <w:tc>
          <w:tcPr>
            <w:tcW w:type="dxa" w:w="3400"/>
            <w:tcMar>
              <w:top w:type="dxa" w:w="60"/>
              <w:left w:type="dxa" w:w="90"/>
              <w:bottom w:type="dxa" w:w="60"/>
              <w:right w:type="dxa" w:w="90"/>
            </w:tcMar>
          </w:tcPr>
          <w:p>
            <w:pPr>
              <w:bidi/>
              <w:spacing w:after="40" w:before="40" w:line="240"/>
              <w:jc w:val="right"/>
            </w:pPr>
            <w:r>
              <w:rPr>
                <w:rFonts w:ascii="Times New Roman" w:cs="David" w:eastAsia="David" w:hAnsi="Times New Roman"/>
                <w:b w:val="false"/>
                <w:bCs w:val="false"/>
                <w:i w:val="false"/>
                <w:iCs w:val="false"/>
                <w:sz w:val="21"/>
                <w:szCs w:val="21"/>
                <w:rtl/>
              </w:rPr>
              <w:t xml:space="preserve">קשקשאים (Squamata)</w:t>
            </w:r>
          </w:p>
        </w:tc>
      </w:tr>
      <w:tr>
        <w:tc>
          <w:tcPr>
            <w:tcW w:type="dxa" w:w="3000"/>
            <w:shd w:fill="F2F2F2" w:color="auto" w:val="clear"/>
            <w:tcMar>
              <w:top w:type="dxa" w:w="60"/>
              <w:left w:type="dxa" w:w="90"/>
              <w:bottom w:type="dxa" w:w="60"/>
              <w:right w:type="dxa" w:w="90"/>
            </w:tcMar>
          </w:tcPr>
          <w:p>
            <w:pPr>
              <w:bidi/>
              <w:spacing w:after="40" w:before="40" w:line="240"/>
              <w:jc w:val="right"/>
            </w:pPr>
            <w:r>
              <w:rPr>
                <w:rFonts w:ascii="Times New Roman" w:cs="David" w:eastAsia="David" w:hAnsi="Times New Roman"/>
                <w:b/>
                <w:bCs/>
                <w:i w:val="false"/>
                <w:iCs w:val="false"/>
                <w:sz w:val="21"/>
                <w:szCs w:val="21"/>
                <w:rtl/>
              </w:rPr>
              <w:t xml:space="preserve">תת-סדרה (Suborder)</w:t>
            </w:r>
          </w:p>
        </w:tc>
        <w:tc>
          <w:tcPr>
            <w:tcW w:type="dxa" w:w="3400"/>
            <w:tcMar>
              <w:top w:type="dxa" w:w="60"/>
              <w:left w:type="dxa" w:w="90"/>
              <w:bottom w:type="dxa" w:w="60"/>
              <w:right w:type="dxa" w:w="90"/>
            </w:tcMar>
          </w:tcPr>
          <w:p>
            <w:pPr>
              <w:bidi/>
              <w:spacing w:after="40" w:before="40" w:line="240"/>
              <w:jc w:val="right"/>
            </w:pPr>
            <w:r>
              <w:rPr>
                <w:rFonts w:ascii="Times New Roman" w:cs="David" w:eastAsia="David" w:hAnsi="Times New Roman"/>
                <w:b w:val="false"/>
                <w:bCs w:val="false"/>
                <w:i w:val="false"/>
                <w:iCs w:val="false"/>
                <w:sz w:val="21"/>
                <w:szCs w:val="21"/>
                <w:rtl/>
              </w:rPr>
              <w:t xml:space="preserve">לטאות (Lacertilia)</w:t>
            </w:r>
          </w:p>
        </w:tc>
      </w:tr>
      <w:tr>
        <w:tc>
          <w:tcPr>
            <w:tcW w:type="dxa" w:w="3000"/>
            <w:shd w:fill="F2F2F2" w:color="auto" w:val="clear"/>
            <w:tcMar>
              <w:top w:type="dxa" w:w="60"/>
              <w:left w:type="dxa" w:w="90"/>
              <w:bottom w:type="dxa" w:w="60"/>
              <w:right w:type="dxa" w:w="90"/>
            </w:tcMar>
          </w:tcPr>
          <w:p>
            <w:pPr>
              <w:bidi/>
              <w:spacing w:after="40" w:before="40" w:line="240"/>
              <w:jc w:val="right"/>
            </w:pPr>
            <w:r>
              <w:rPr>
                <w:rFonts w:ascii="Times New Roman" w:cs="David" w:eastAsia="David" w:hAnsi="Times New Roman"/>
                <w:b/>
                <w:bCs/>
                <w:i w:val="false"/>
                <w:iCs w:val="false"/>
                <w:sz w:val="21"/>
                <w:szCs w:val="21"/>
                <w:rtl/>
              </w:rPr>
              <w:t xml:space="preserve">משפחה (Family)</w:t>
            </w:r>
          </w:p>
        </w:tc>
        <w:tc>
          <w:tcPr>
            <w:tcW w:type="dxa" w:w="3400"/>
            <w:tcMar>
              <w:top w:type="dxa" w:w="60"/>
              <w:left w:type="dxa" w:w="90"/>
              <w:bottom w:type="dxa" w:w="60"/>
              <w:right w:type="dxa" w:w="90"/>
            </w:tcMar>
          </w:tcPr>
          <w:p>
            <w:pPr>
              <w:bidi/>
              <w:spacing w:after="40" w:before="40" w:line="240"/>
              <w:jc w:val="right"/>
            </w:pPr>
            <w:r>
              <w:rPr>
                <w:rFonts w:ascii="Times New Roman" w:cs="David" w:eastAsia="David" w:hAnsi="Times New Roman"/>
                <w:b w:val="false"/>
                <w:bCs w:val="false"/>
                <w:i w:val="false"/>
                <w:iCs w:val="false"/>
                <w:sz w:val="21"/>
                <w:szCs w:val="21"/>
                <w:rtl/>
              </w:rPr>
              <w:t xml:space="preserve">שממיתיים (Gekkonidae)</w:t>
            </w:r>
          </w:p>
        </w:tc>
      </w:tr>
      <w:tr>
        <w:tc>
          <w:tcPr>
            <w:tcW w:type="dxa" w:w="3000"/>
            <w:shd w:fill="F2F2F2" w:color="auto" w:val="clear"/>
            <w:tcMar>
              <w:top w:type="dxa" w:w="60"/>
              <w:left w:type="dxa" w:w="90"/>
              <w:bottom w:type="dxa" w:w="60"/>
              <w:right w:type="dxa" w:w="90"/>
            </w:tcMar>
          </w:tcPr>
          <w:p>
            <w:pPr>
              <w:bidi/>
              <w:spacing w:after="40" w:before="40" w:line="240"/>
              <w:jc w:val="right"/>
            </w:pPr>
            <w:r>
              <w:rPr>
                <w:rFonts w:ascii="Times New Roman" w:cs="David" w:eastAsia="David" w:hAnsi="Times New Roman"/>
                <w:b/>
                <w:bCs/>
                <w:i w:val="false"/>
                <w:iCs w:val="false"/>
                <w:sz w:val="21"/>
                <w:szCs w:val="21"/>
                <w:rtl/>
              </w:rPr>
              <w:t xml:space="preserve">סוג (Genus)</w:t>
            </w:r>
          </w:p>
        </w:tc>
        <w:tc>
          <w:tcPr>
            <w:tcW w:type="dxa" w:w="3400"/>
            <w:tcMar>
              <w:top w:type="dxa" w:w="60"/>
              <w:left w:type="dxa" w:w="90"/>
              <w:bottom w:type="dxa" w:w="60"/>
              <w:right w:type="dxa" w:w="90"/>
            </w:tcMar>
          </w:tcPr>
          <w:p>
            <w:pPr>
              <w:bidi/>
              <w:spacing w:after="40" w:before="40" w:line="240"/>
              <w:jc w:val="right"/>
            </w:pPr>
            <w:r>
              <w:rPr>
                <w:rFonts w:ascii="Times New Roman" w:cs="David" w:eastAsia="David" w:hAnsi="Times New Roman"/>
                <w:b w:val="false"/>
                <w:bCs w:val="false"/>
                <w:i w:val="false"/>
                <w:iCs w:val="false"/>
                <w:sz w:val="21"/>
                <w:szCs w:val="21"/>
                <w:rtl/>
              </w:rPr>
              <w:t xml:space="preserve">שממית (Hemidactylus)</w:t>
            </w:r>
          </w:p>
        </w:tc>
      </w:tr>
      <w:tr>
        <w:tc>
          <w:tcPr>
            <w:tcW w:type="dxa" w:w="3000"/>
            <w:shd w:fill="F2F2F2" w:color="auto" w:val="clear"/>
            <w:tcMar>
              <w:top w:type="dxa" w:w="60"/>
              <w:left w:type="dxa" w:w="90"/>
              <w:bottom w:type="dxa" w:w="60"/>
              <w:right w:type="dxa" w:w="90"/>
            </w:tcMar>
          </w:tcPr>
          <w:p>
            <w:pPr>
              <w:bidi/>
              <w:spacing w:after="40" w:before="40" w:line="240"/>
              <w:jc w:val="right"/>
            </w:pPr>
            <w:r>
              <w:rPr>
                <w:rFonts w:ascii="Times New Roman" w:cs="David" w:eastAsia="David" w:hAnsi="Times New Roman"/>
                <w:b/>
                <w:bCs/>
                <w:i w:val="false"/>
                <w:iCs w:val="false"/>
                <w:sz w:val="21"/>
                <w:szCs w:val="21"/>
                <w:rtl/>
              </w:rPr>
              <w:t xml:space="preserve">מין (Species)</w:t>
            </w:r>
          </w:p>
        </w:tc>
        <w:tc>
          <w:tcPr>
            <w:tcW w:type="dxa" w:w="3400"/>
            <w:tcMar>
              <w:top w:type="dxa" w:w="60"/>
              <w:left w:type="dxa" w:w="90"/>
              <w:bottom w:type="dxa" w:w="60"/>
              <w:right w:type="dxa" w:w="90"/>
            </w:tcMar>
          </w:tcPr>
          <w:p>
            <w:pPr>
              <w:bidi/>
              <w:spacing w:after="40" w:before="40" w:line="240"/>
              <w:jc w:val="right"/>
            </w:pPr>
            <w:r>
              <w:rPr>
                <w:rFonts w:ascii="Times New Roman" w:cs="David" w:eastAsia="David" w:hAnsi="Times New Roman"/>
                <w:b w:val="false"/>
                <w:bCs w:val="false"/>
                <w:i w:val="false"/>
                <w:iCs w:val="false"/>
                <w:sz w:val="21"/>
                <w:szCs w:val="21"/>
                <w:rtl/>
              </w:rPr>
              <w:t xml:space="preserve">שממית מצויה (Hemidactylus turcicus Linnaeus, 1758)</w:t>
            </w:r>
          </w:p>
        </w:tc>
      </w:tr>
    </w:tbl>
    <w:p>
      <w:pPr>
        <w:spacing w:after="200"/>
      </w:pPr>
    </w:p>
    <w:p>
      <w:pPr>
        <w:bidi/>
        <w:spacing w:after="100" w:before="160" w:line="360"/>
        <w:jc w:val="right"/>
      </w:pPr>
      <w:r>
        <w:rPr>
          <w:rFonts w:ascii="Times New Roman" w:cs="David" w:eastAsia="David" w:hAnsi="Times New Roman"/>
          <w:b/>
          <w:bCs/>
          <w:i w:val="false"/>
          <w:iCs w:val="false"/>
          <w:sz w:val="24"/>
          <w:szCs w:val="24"/>
          <w:rtl/>
        </w:rPr>
        <w:t xml:space="preserve">מידע כללי</w:t>
      </w:r>
    </w:p>
    <w:p>
      <w:pPr>
        <w:bidi/>
        <w:spacing w:after="120" w:before="0" w:line="360"/>
        <w:jc w:val="both"/>
      </w:pPr>
      <w:r>
        <w:rPr>
          <w:rFonts w:ascii="Times New Roman" w:cs="David" w:eastAsia="David" w:hAnsi="Times New Roman"/>
          <w:b w:val="false"/>
          <w:bCs w:val="false"/>
          <w:i w:val="false"/>
          <w:iCs w:val="false"/>
          <w:sz w:val="24"/>
          <w:szCs w:val="24"/>
          <w:rtl/>
        </w:rPr>
        <w:t xml:space="preserve">השממית המצויה היא לטאה קטנה שאורכה הכולל כ-10 ס"מ, מהם כמחצית זנב. גופה שטוח יחסית, בגוון ורדרד-אפרפר, ולעיתים שקוף למחצה עד כדי שניתן להבחין מבעד לעור בקווי המתאר של האיברים הפנימיים. על הגב פזורות יבלות קרניות בולטות המשמשות לזיהוי המין. לעין אין עפעפיים ניידים, ובמקומם קשקש שקוף המכסה אותה, והשממית מנקה אותו בלשונה. האישון אנכי ומצטמצם ביום לחריץ צר, התאמה אופיינית לפעילות לילית (בר וחיימוביץ', 2011).</w:t>
      </w:r>
    </w:p>
    <w:p>
      <w:pPr>
        <w:bidi/>
        <w:spacing w:after="120" w:before="0" w:line="360"/>
        <w:jc w:val="both"/>
      </w:pPr>
      <w:r>
        <w:rPr>
          <w:rFonts w:ascii="Times New Roman" w:cs="David" w:eastAsia="David" w:hAnsi="Times New Roman"/>
          <w:b w:val="false"/>
          <w:bCs w:val="false"/>
          <w:i w:val="false"/>
          <w:iCs w:val="false"/>
          <w:sz w:val="24"/>
          <w:szCs w:val="24"/>
          <w:rtl/>
        </w:rPr>
        <w:t xml:space="preserve">כפות הרגליים נושאות כריות היצמדות המחולקות לשתי שורות, מאפיין שהעניק לסוג את שמו הלטיני. הכריות בנויות מלמלות רוחביות, ועל כל למלה מיליוני זיפים דקיקים המסתעפים בקצותיהם לרוחב של מאות ננומטרים בלבד. ההיצמדות אינה נשענת על דבק ואינה יניקה, אלא על כוחות ואן דר ולס הנוצרים במגע הקרוב בין הזיף לבין המשטח, ולכן היא פועלת גם על זכוכית חלקה, גם בסביבה יבשה לחלוטין ואף על קירות הפוכים (Autumn et al., 2000).</w:t>
      </w:r>
    </w:p>
    <w:p>
      <w:pPr>
        <w:bidi/>
        <w:spacing w:after="120" w:before="0" w:line="360"/>
        <w:jc w:val="both"/>
      </w:pPr>
      <w:r>
        <w:rPr>
          <w:rFonts w:ascii="Times New Roman" w:cs="David" w:eastAsia="David" w:hAnsi="Times New Roman"/>
          <w:b w:val="false"/>
          <w:bCs w:val="false"/>
          <w:i w:val="false"/>
          <w:iCs w:val="false"/>
          <w:sz w:val="24"/>
          <w:szCs w:val="24"/>
          <w:rtl/>
        </w:rPr>
        <w:t xml:space="preserve">השממית פעילה בעיקר בלילה. שעות הפעילות מתחילות עם רדת החשכה, והיא נמשכת לתאורת חוץ משום שהאור מרכז סביבו עש, יתושים וחרקים אחרים. ביום היא מסתתרת בסדקים, מאחורי תריסים או מתחת לאבנים. ככל הזוחלים היא בעלת חום גוף משתנה ואינה מייצרת חום פנימי, ולכן ויסות החום שלה התנהגותי: קיר שנחשף לשמש במשך היום וממשיך לשחרר חום בשעות הראשונות של הלילה הוא אתר פעילות מועדף (Werner, 2016).</w:t>
      </w:r>
    </w:p>
    <w:p>
      <w:pPr>
        <w:bidi/>
        <w:spacing w:after="120" w:before="0" w:line="360"/>
        <w:jc w:val="both"/>
      </w:pPr>
      <w:r>
        <w:rPr>
          <w:rFonts w:ascii="Times New Roman" w:cs="David" w:eastAsia="David" w:hAnsi="Times New Roman"/>
          <w:b w:val="false"/>
          <w:bCs w:val="false"/>
          <w:i w:val="false"/>
          <w:iCs w:val="false"/>
          <w:sz w:val="24"/>
          <w:szCs w:val="24"/>
          <w:rtl/>
        </w:rPr>
        <w:t xml:space="preserve">בשונה מרוב הלטאות, השממיות משמיעות קולות. הצקצוקים והחריקות נשמעים בעיקר במפגשים בין פרטים ובהגנה על מחסה, והם אחד המאפיינים הבולטים של המשפחה כולה (Bauer, 2013). הזנב ממלא תפקיד נוסף: הוא משמש מאגר שומן, והוא ניתן להשלכה במקום שבר מובנה כאשר הפרט נתפס.</w:t>
      </w:r>
    </w:p>
    <w:p>
      <w:pPr>
        <w:bidi/>
        <w:spacing w:after="120" w:before="0" w:line="360"/>
        <w:jc w:val="both"/>
      </w:pPr>
      <w:r>
        <w:rPr>
          <w:rFonts w:ascii="Times New Roman" w:cs="David" w:eastAsia="David" w:hAnsi="Times New Roman"/>
          <w:b w:val="false"/>
          <w:bCs w:val="false"/>
          <w:i w:val="false"/>
          <w:iCs w:val="false"/>
          <w:sz w:val="24"/>
          <w:szCs w:val="24"/>
          <w:rtl/>
        </w:rPr>
        <w:t xml:space="preserve">הרבייה זוויגית וההפריה פנימית. הנקבה מטילה בדרך כלל שתי ביצים בעלות קליפה קשה בכל הטלה, ובעונה אחת היא עשויה להטיל כמה פעמים בזו אחר זו. הביצים מוסתרות בסדקים ובחללים, לעיתים באתרי הטלה משותפים לכמה נקבות, ואין טיפול הורי בצאצאים. ההתפתחות ישירה, ובקיעת הצאצא נראית כגרסה מוקטנת של הבוגר (Selcer, 1986).</w:t>
      </w:r>
    </w:p>
    <w:p>
      <w:pPr>
        <w:bidi/>
        <w:spacing w:after="120" w:before="0" w:line="360"/>
        <w:jc w:val="both"/>
      </w:pPr>
      <w:r>
        <w:rPr>
          <w:rFonts w:ascii="Times New Roman" w:cs="David" w:eastAsia="David" w:hAnsi="Times New Roman"/>
          <w:b w:val="false"/>
          <w:bCs w:val="false"/>
          <w:i w:val="false"/>
          <w:iCs w:val="false"/>
          <w:sz w:val="24"/>
          <w:szCs w:val="24"/>
          <w:rtl/>
        </w:rPr>
        <w:t xml:space="preserve">הקשר בין השממית המצויה לאדם הדוק במיוחד. היא מין קומנסלי מובהק הנהנה ממבנים, מסדקים ומתאורה מלאכותית, ודרך הסעה אקראית במטענים ובמשלוחי סחורה היא התפשטה מאגן הים התיכון לחלקים נרחבים בעולם, ובהם דרום ארצות הברית ומרכז אמריקה (Selcer, 1986). בישראל היא נפוצה מאוד ואינה מוגדרת במצב שימור בעייתי, והיא נחשבת מועילה לאדם משום שהיא ניזונה מיתושים ומחרקים ביתיים אחרים.</w:t>
      </w:r>
    </w:p>
    <w:p>
      <w:pPr>
        <w:bidi/>
        <w:spacing w:after="120" w:before="0" w:line="360"/>
        <w:jc w:val="both"/>
      </w:pPr>
      <w:r>
        <w:rPr>
          <w:rFonts w:ascii="Times New Roman" w:cs="David" w:eastAsia="David" w:hAnsi="Times New Roman"/>
          <w:b w:val="false"/>
          <w:bCs w:val="false"/>
          <w:i w:val="false"/>
          <w:iCs w:val="false"/>
          <w:sz w:val="24"/>
          <w:szCs w:val="24"/>
          <w:rtl/>
        </w:rPr>
        <w:t xml:space="preserve">אלא שאותה תשתית אנושית פועלת גם בכיוון ההפוך. בשנת 2012 זוהתה בישראל לראשונה שממית החומות המצרית, מין פולש גדול בהרבה שהגיע ככל הנראה בהסעה אקראית, ומאז תועד גם ביישובים נוספים בערבה. היא ניזונה מכל בעל חיים קטן ממנה, ובכלל זה משממיות אחרות, ובאתר שבו נמצאה בעין גדי לא נותרו שממיות מקומיות (רשות הטבע והגנים, 2024). מכאן שאותם קירות, סדקים ופנסים שמיטיבים עם השממית המצויה עלולים גם להביא אליה מתחרה שתדחק אותה.</w:t>
      </w:r>
    </w:p>
    <w:tbl>
      <w:tblPr>
        <w:bidiVisual/>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Mar>
              <w:top w:type="dxa" w:w="400"/>
              <w:left w:type="dxa" w:w="200"/>
              <w:bottom w:type="dxa" w:w="400"/>
              <w:right w:type="dxa" w:w="200"/>
            </w:tcMar>
          </w:tcPr>
          <w:p>
            <w:pPr>
              <w:bidi/>
              <w:spacing w:line="300"/>
              <w:jc w:val="center"/>
            </w:pPr>
            <w:r>
              <w:rPr>
                <w:rFonts w:ascii="Times New Roman" w:cs="David" w:eastAsia="David" w:hAnsi="Times New Roman"/>
                <w:b w:val="false"/>
                <w:bCs w:val="false"/>
                <w:i w:val="false"/>
                <w:iCs w:val="false"/>
                <w:color w:val="C00000"/>
                <w:sz w:val="22"/>
                <w:szCs w:val="22"/>
                <w:rtl/>
              </w:rPr>
              <w:t xml:space="preserve">כאן יש להכניס את התמונה. להוריד מהקישור שבשורת המקור למטה, ולמחוק מסגרת זו.</w:t>
            </w:r>
          </w:p>
        </w:tc>
      </w:tr>
    </w:tbl>
    <w:p>
      <w:pPr>
        <w:bidi/>
        <w:spacing w:after="40" w:before="120" w:line="300"/>
        <w:jc w:val="right"/>
      </w:pPr>
      <w:r>
        <w:rPr>
          <w:rFonts w:ascii="Times New Roman" w:cs="David" w:eastAsia="David" w:hAnsi="Times New Roman"/>
          <w:b/>
          <w:bCs/>
          <w:i w:val="false"/>
          <w:iCs w:val="false"/>
          <w:sz w:val="21"/>
          <w:szCs w:val="21"/>
          <w:rtl/>
        </w:rPr>
        <w:t xml:space="preserve">תמונה 2. </w:t>
      </w:r>
      <w:r>
        <w:rPr>
          <w:rFonts w:ascii="Times New Roman" w:cs="David" w:eastAsia="David" w:hAnsi="Times New Roman"/>
          <w:b w:val="false"/>
          <w:bCs w:val="false"/>
          <w:i w:val="false"/>
          <w:iCs w:val="false"/>
          <w:sz w:val="21"/>
          <w:szCs w:val="21"/>
          <w:rtl/>
        </w:rPr>
        <w:t xml:space="preserve">שממית מצויה (Hemidactylus turcicus). ניכרים בה האישון האנכי, היבלות הקרניות על הגב וכריות ההיצמדות בכפות הרגליים.</w:t>
      </w:r>
    </w:p>
    <w:p>
      <w:pPr>
        <w:bidi/>
        <w:spacing w:after="200" w:before="0" w:line="300"/>
        <w:jc w:val="right"/>
      </w:pPr>
      <w:r>
        <w:rPr>
          <w:rFonts w:ascii="Times New Roman" w:cs="David" w:eastAsia="David" w:hAnsi="Times New Roman"/>
          <w:b w:val="false"/>
          <w:bCs w:val="false"/>
          <w:i w:val="false"/>
          <w:iCs w:val="false"/>
          <w:sz w:val="20"/>
          <w:szCs w:val="20"/>
          <w:rtl/>
        </w:rPr>
        <w:t xml:space="preserve">מתוך </w:t>
      </w:r>
      <w:r>
        <w:rPr>
          <w:rFonts w:ascii="Times New Roman" w:cs="David" w:eastAsia="David" w:hAnsi="Times New Roman"/>
          <w:b w:val="false"/>
          <w:bCs w:val="false"/>
          <w:i/>
          <w:iCs/>
          <w:sz w:val="20"/>
          <w:szCs w:val="20"/>
          <w:rtl/>
        </w:rPr>
        <w:t xml:space="preserve">Hemidactylus turcicus (Mediterranean house gecko)</w:t>
      </w:r>
      <w:r>
        <w:rPr>
          <w:rFonts w:ascii="Times New Roman" w:cs="David" w:eastAsia="David" w:hAnsi="Times New Roman"/>
          <w:b w:val="false"/>
          <w:bCs w:val="false"/>
          <w:i w:val="false"/>
          <w:iCs w:val="false"/>
          <w:sz w:val="20"/>
          <w:szCs w:val="20"/>
          <w:rtl/>
        </w:rPr>
        <w:t xml:space="preserve"> [תצלום], מאת מ' זכריאדזה, ויקישיתוף (ל.ת.). </w:t>
      </w:r>
      <w:r>
        <w:rPr>
          <w:rFonts w:ascii="Times New Roman" w:cs="David" w:eastAsia="David" w:hAnsi="Times New Roman"/>
          <w:b w:val="false"/>
          <w:bCs w:val="false"/>
          <w:i w:val="false"/>
          <w:iCs w:val="false"/>
          <w:sz w:val="20"/>
          <w:szCs w:val="20"/>
          <w:rtl/>
        </w:rPr>
        <w:t xml:space="preserve">https://commons.wikimedia.org/wiki/File:Hemidactylus_turcicus_(Mediterranean_house_gecko).jpg</w:t>
      </w:r>
      <w:r>
        <w:rPr>
          <w:rFonts w:ascii="Times New Roman" w:cs="David" w:eastAsia="David" w:hAnsi="Times New Roman"/>
          <w:b w:val="false"/>
          <w:bCs w:val="false"/>
          <w:i w:val="false"/>
          <w:iCs w:val="false"/>
          <w:sz w:val="20"/>
          <w:szCs w:val="20"/>
          <w:rtl/>
        </w:rPr>
        <w:t xml:space="preserve"> רישיון CC BY-SA 4.0.</w:t>
      </w:r>
    </w:p>
    <w:p>
      <w:pPr>
        <w:pageBreakBefore/>
        <w:bidi/>
        <w:spacing w:after="240" w:before="0" w:line="360"/>
        <w:jc w:val="right"/>
      </w:pPr>
      <w:r>
        <w:rPr>
          <w:rFonts w:ascii="Times New Roman" w:cs="David" w:eastAsia="David" w:hAnsi="Times New Roman"/>
          <w:b/>
          <w:bCs/>
          <w:i w:val="false"/>
          <w:iCs w:val="false"/>
          <w:sz w:val="28"/>
          <w:szCs w:val="28"/>
          <w:rtl/>
        </w:rPr>
        <w:t xml:space="preserve">טבלת השוואה</w:t>
      </w:r>
    </w:p>
    <w:p>
      <w:pPr>
        <w:bidi/>
        <w:spacing w:after="120" w:before="0" w:line="360"/>
        <w:jc w:val="both"/>
      </w:pPr>
      <w:r>
        <w:rPr>
          <w:rFonts w:ascii="Times New Roman" w:cs="David" w:eastAsia="David" w:hAnsi="Times New Roman"/>
          <w:b w:val="false"/>
          <w:bCs w:val="false"/>
          <w:i w:val="false"/>
          <w:iCs w:val="false"/>
          <w:sz w:val="24"/>
          <w:szCs w:val="24"/>
          <w:rtl/>
        </w:rPr>
        <w:t xml:space="preserve">הטבלה שלהלן משווה בין שני המינים לפי הנושאים שהוגדרו במטלה. כל שורה עוסקת בנושא אחד, והטקסט בכל משבצת מובא בתמצית.</w:t>
      </w:r>
    </w:p>
    <w:tbl>
      <w:tblPr>
        <w:bidiVisual/>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500"/>
        <w:gridCol w:w="3786"/>
        <w:gridCol w:w="3786"/>
      </w:tblGrid>
      <w:tr>
        <w:trPr>
          <w:cantSplit/>
          <w:tblHeader/>
        </w:trPr>
        <w:tc>
          <w:tcPr>
            <w:tcW w:type="dxa" w:w="1500"/>
            <w:shd w:fill="BFBFBF" w:color="auto" w:val="clear"/>
            <w:tcMar>
              <w:top w:type="dxa" w:w="60"/>
              <w:left w:type="dxa" w:w="90"/>
              <w:bottom w:type="dxa" w:w="60"/>
              <w:right w:type="dxa" w:w="90"/>
            </w:tcMar>
          </w:tcPr>
          <w:p>
            <w:pPr>
              <w:bidi/>
              <w:spacing w:after="40" w:before="40" w:line="240"/>
              <w:jc w:val="right"/>
            </w:pPr>
            <w:r>
              <w:rPr>
                <w:rFonts w:ascii="Times New Roman" w:cs="David" w:eastAsia="David" w:hAnsi="Times New Roman"/>
                <w:b/>
                <w:bCs/>
                <w:i w:val="false"/>
                <w:iCs w:val="false"/>
                <w:sz w:val="21"/>
                <w:szCs w:val="21"/>
                <w:rtl/>
              </w:rPr>
              <w:t xml:space="preserve">נושא</w:t>
            </w:r>
          </w:p>
        </w:tc>
        <w:tc>
          <w:tcPr>
            <w:tcW w:type="dxa" w:w="3786"/>
            <w:shd w:fill="BFBFBF" w:color="auto" w:val="clear"/>
            <w:tcMar>
              <w:top w:type="dxa" w:w="60"/>
              <w:left w:type="dxa" w:w="90"/>
              <w:bottom w:type="dxa" w:w="60"/>
              <w:right w:type="dxa" w:w="90"/>
            </w:tcMar>
          </w:tcPr>
          <w:p>
            <w:pPr>
              <w:bidi/>
              <w:spacing w:after="40" w:before="40" w:line="240"/>
              <w:jc w:val="right"/>
            </w:pPr>
            <w:r>
              <w:rPr>
                <w:rFonts w:ascii="Times New Roman" w:cs="David" w:eastAsia="David" w:hAnsi="Times New Roman"/>
                <w:b/>
                <w:bCs/>
                <w:i w:val="false"/>
                <w:iCs w:val="false"/>
                <w:sz w:val="21"/>
                <w:szCs w:val="21"/>
                <w:rtl/>
              </w:rPr>
              <w:t xml:space="preserve">צרעה מזרחית (Vespa orientalis)</w:t>
            </w:r>
          </w:p>
        </w:tc>
        <w:tc>
          <w:tcPr>
            <w:tcW w:type="dxa" w:w="3786"/>
            <w:shd w:fill="BFBFBF" w:color="auto" w:val="clear"/>
            <w:tcMar>
              <w:top w:type="dxa" w:w="60"/>
              <w:left w:type="dxa" w:w="90"/>
              <w:bottom w:type="dxa" w:w="60"/>
              <w:right w:type="dxa" w:w="90"/>
            </w:tcMar>
          </w:tcPr>
          <w:p>
            <w:pPr>
              <w:bidi/>
              <w:spacing w:after="40" w:before="40" w:line="240"/>
              <w:jc w:val="right"/>
            </w:pPr>
            <w:r>
              <w:rPr>
                <w:rFonts w:ascii="Times New Roman" w:cs="David" w:eastAsia="David" w:hAnsi="Times New Roman"/>
                <w:b/>
                <w:bCs/>
                <w:i w:val="false"/>
                <w:iCs w:val="false"/>
                <w:sz w:val="21"/>
                <w:szCs w:val="21"/>
                <w:rtl/>
              </w:rPr>
              <w:t xml:space="preserve">שממית מצויה (Hemidactylus turcicus)</w:t>
            </w:r>
          </w:p>
        </w:tc>
      </w:tr>
      <w:tr>
        <w:trPr>
          <w:cantSplit/>
          <w:tblHeader w:val="false"/>
        </w:trPr>
        <w:tc>
          <w:tcPr>
            <w:tcW w:type="dxa" w:w="1500"/>
            <w:shd w:fill="F2F2F2" w:color="auto" w:val="clear"/>
            <w:tcMar>
              <w:top w:type="dxa" w:w="60"/>
              <w:left w:type="dxa" w:w="90"/>
              <w:bottom w:type="dxa" w:w="60"/>
              <w:right w:type="dxa" w:w="90"/>
            </w:tcMar>
          </w:tcPr>
          <w:p>
            <w:pPr>
              <w:bidi/>
              <w:spacing w:after="40" w:before="40" w:line="240"/>
              <w:jc w:val="right"/>
            </w:pPr>
            <w:r>
              <w:rPr>
                <w:rFonts w:ascii="Times New Roman" w:cs="David" w:eastAsia="David" w:hAnsi="Times New Roman"/>
                <w:b/>
                <w:bCs/>
                <w:i w:val="false"/>
                <w:iCs w:val="false"/>
                <w:sz w:val="21"/>
                <w:szCs w:val="21"/>
                <w:rtl/>
              </w:rPr>
              <w:t xml:space="preserve">מבנה גוף</w:t>
            </w:r>
          </w:p>
        </w:tc>
        <w:tc>
          <w:tcPr>
            <w:tcW w:type="dxa" w:w="3786"/>
            <w:tcMar>
              <w:top w:type="dxa" w:w="60"/>
              <w:left w:type="dxa" w:w="90"/>
              <w:bottom w:type="dxa" w:w="60"/>
              <w:right w:type="dxa" w:w="90"/>
            </w:tcMar>
          </w:tcPr>
          <w:p>
            <w:pPr>
              <w:bidi/>
              <w:spacing w:after="40" w:before="40" w:line="240"/>
              <w:jc w:val="right"/>
            </w:pPr>
            <w:r>
              <w:rPr>
                <w:rFonts w:ascii="Times New Roman" w:cs="David" w:eastAsia="David" w:hAnsi="Times New Roman"/>
                <w:b w:val="false"/>
                <w:bCs w:val="false"/>
                <w:i w:val="false"/>
                <w:iCs w:val="false"/>
                <w:sz w:val="21"/>
                <w:szCs w:val="21"/>
                <w:rtl/>
              </w:rPr>
              <w:t xml:space="preserve">שלד חיצוני מכיטין, סימטריה דו-צדדית.</w:t>
            </w:r>
          </w:p>
          <w:p>
            <w:pPr>
              <w:bidi/>
              <w:spacing w:after="40" w:before="40" w:line="240"/>
              <w:jc w:val="right"/>
            </w:pPr>
            <w:r>
              <w:rPr>
                <w:rFonts w:ascii="Times New Roman" w:cs="David" w:eastAsia="David" w:hAnsi="Times New Roman"/>
                <w:b w:val="false"/>
                <w:bCs w:val="false"/>
                <w:i w:val="false"/>
                <w:iCs w:val="false"/>
                <w:sz w:val="21"/>
                <w:szCs w:val="21"/>
                <w:rtl/>
              </w:rPr>
              <w:t xml:space="preserve">שלושה חלקים: ראש, חזה (נושא 6 רגליים ו-2 זוגות כנפיים) ובטן, המחוברת לחזה במותן דקה.</w:t>
            </w:r>
          </w:p>
          <w:p>
            <w:pPr>
              <w:bidi/>
              <w:spacing w:after="40" w:before="40" w:line="240"/>
              <w:jc w:val="right"/>
            </w:pPr>
            <w:r>
              <w:rPr>
                <w:rFonts w:ascii="Times New Roman" w:cs="David" w:eastAsia="David" w:hAnsi="Times New Roman"/>
                <w:b w:val="false"/>
                <w:bCs w:val="false"/>
                <w:i w:val="false"/>
                <w:iCs w:val="false"/>
                <w:sz w:val="21"/>
                <w:szCs w:val="21"/>
                <w:rtl/>
              </w:rPr>
              <w:t xml:space="preserve">אורך פועלת 20-25 מ"מ, מלכה עד כ-35 מ"מ.</w:t>
            </w:r>
          </w:p>
          <w:p>
            <w:pPr>
              <w:bidi/>
              <w:spacing w:after="40" w:before="40" w:line="240"/>
              <w:jc w:val="right"/>
            </w:pPr>
            <w:r>
              <w:rPr>
                <w:rFonts w:ascii="Times New Roman" w:cs="David" w:eastAsia="David" w:hAnsi="Times New Roman"/>
                <w:b w:val="false"/>
                <w:bCs w:val="false"/>
                <w:i w:val="false"/>
                <w:iCs w:val="false"/>
                <w:sz w:val="21"/>
                <w:szCs w:val="21"/>
                <w:rtl/>
              </w:rPr>
              <w:t xml:space="preserve">גדילה מחייבת התנשלות של השלד החיצוני.</w:t>
            </w:r>
          </w:p>
        </w:tc>
        <w:tc>
          <w:tcPr>
            <w:tcW w:type="dxa" w:w="3786"/>
            <w:tcMar>
              <w:top w:type="dxa" w:w="60"/>
              <w:left w:type="dxa" w:w="90"/>
              <w:bottom w:type="dxa" w:w="60"/>
              <w:right w:type="dxa" w:w="90"/>
            </w:tcMar>
          </w:tcPr>
          <w:p>
            <w:pPr>
              <w:bidi/>
              <w:spacing w:after="40" w:before="40" w:line="240"/>
              <w:jc w:val="right"/>
            </w:pPr>
            <w:r>
              <w:rPr>
                <w:rFonts w:ascii="Times New Roman" w:cs="David" w:eastAsia="David" w:hAnsi="Times New Roman"/>
                <w:b w:val="false"/>
                <w:bCs w:val="false"/>
                <w:i w:val="false"/>
                <w:iCs w:val="false"/>
                <w:sz w:val="21"/>
                <w:szCs w:val="21"/>
                <w:rtl/>
              </w:rPr>
              <w:t xml:space="preserve">שלד פנימי מעצם, ובו עמוד שדרה וגולגולת; סימטריה דו-צדדית.</w:t>
            </w:r>
          </w:p>
          <w:p>
            <w:pPr>
              <w:bidi/>
              <w:spacing w:after="40" w:before="40" w:line="240"/>
              <w:jc w:val="right"/>
            </w:pPr>
            <w:r>
              <w:rPr>
                <w:rFonts w:ascii="Times New Roman" w:cs="David" w:eastAsia="David" w:hAnsi="Times New Roman"/>
                <w:b w:val="false"/>
                <w:bCs w:val="false"/>
                <w:i w:val="false"/>
                <w:iCs w:val="false"/>
                <w:sz w:val="21"/>
                <w:szCs w:val="21"/>
                <w:rtl/>
              </w:rPr>
              <w:t xml:space="preserve">ראש, גו, ארבע גפיים וזנב; העור מכוסה קשקשים ויבלות קרניות.</w:t>
            </w:r>
          </w:p>
          <w:p>
            <w:pPr>
              <w:bidi/>
              <w:spacing w:after="40" w:before="40" w:line="240"/>
              <w:jc w:val="right"/>
            </w:pPr>
            <w:r>
              <w:rPr>
                <w:rFonts w:ascii="Times New Roman" w:cs="David" w:eastAsia="David" w:hAnsi="Times New Roman"/>
                <w:b w:val="false"/>
                <w:bCs w:val="false"/>
                <w:i w:val="false"/>
                <w:iCs w:val="false"/>
                <w:sz w:val="21"/>
                <w:szCs w:val="21"/>
                <w:rtl/>
              </w:rPr>
              <w:t xml:space="preserve">אורך כולל כ-10 ס"מ, מהם כמחצית זנב.</w:t>
            </w:r>
          </w:p>
          <w:p>
            <w:pPr>
              <w:bidi/>
              <w:spacing w:after="40" w:before="40" w:line="240"/>
              <w:jc w:val="right"/>
            </w:pPr>
            <w:r>
              <w:rPr>
                <w:rFonts w:ascii="Times New Roman" w:cs="David" w:eastAsia="David" w:hAnsi="Times New Roman"/>
                <w:b w:val="false"/>
                <w:bCs w:val="false"/>
                <w:i w:val="false"/>
                <w:iCs w:val="false"/>
                <w:sz w:val="21"/>
                <w:szCs w:val="21"/>
                <w:rtl/>
              </w:rPr>
              <w:t xml:space="preserve">גדילה רציפה; העור החיצוני מתנשל מדי פעם.</w:t>
            </w:r>
          </w:p>
        </w:tc>
      </w:tr>
      <w:tr>
        <w:trPr>
          <w:cantSplit/>
          <w:tblHeader w:val="false"/>
        </w:trPr>
        <w:tc>
          <w:tcPr>
            <w:tcW w:type="dxa" w:w="1500"/>
            <w:shd w:fill="F2F2F2" w:color="auto" w:val="clear"/>
            <w:tcMar>
              <w:top w:type="dxa" w:w="60"/>
              <w:left w:type="dxa" w:w="90"/>
              <w:bottom w:type="dxa" w:w="60"/>
              <w:right w:type="dxa" w:w="90"/>
            </w:tcMar>
          </w:tcPr>
          <w:p>
            <w:pPr>
              <w:bidi/>
              <w:spacing w:after="40" w:before="40" w:line="240"/>
              <w:jc w:val="right"/>
            </w:pPr>
            <w:r>
              <w:rPr>
                <w:rFonts w:ascii="Times New Roman" w:cs="David" w:eastAsia="David" w:hAnsi="Times New Roman"/>
                <w:b/>
                <w:bCs/>
                <w:i w:val="false"/>
                <w:iCs w:val="false"/>
                <w:sz w:val="21"/>
                <w:szCs w:val="21"/>
                <w:rtl/>
              </w:rPr>
              <w:t xml:space="preserve">מחזור חיים</w:t>
            </w:r>
          </w:p>
        </w:tc>
        <w:tc>
          <w:tcPr>
            <w:tcW w:type="dxa" w:w="3786"/>
            <w:tcMar>
              <w:top w:type="dxa" w:w="60"/>
              <w:left w:type="dxa" w:w="90"/>
              <w:bottom w:type="dxa" w:w="60"/>
              <w:right w:type="dxa" w:w="90"/>
            </w:tcMar>
          </w:tcPr>
          <w:p>
            <w:pPr>
              <w:bidi/>
              <w:spacing w:after="40" w:before="40" w:line="240"/>
              <w:jc w:val="right"/>
            </w:pPr>
            <w:r>
              <w:rPr>
                <w:rFonts w:ascii="Times New Roman" w:cs="David" w:eastAsia="David" w:hAnsi="Times New Roman"/>
                <w:b w:val="false"/>
                <w:bCs w:val="false"/>
                <w:i w:val="false"/>
                <w:iCs w:val="false"/>
                <w:sz w:val="21"/>
                <w:szCs w:val="21"/>
                <w:rtl/>
              </w:rPr>
              <w:t xml:space="preserve">גלגול מלא (הולומטבולי): ביצה ← זחל (חמישה גלגולים) ← גולם ← בוגר.</w:t>
            </w:r>
          </w:p>
          <w:p>
            <w:pPr>
              <w:bidi/>
              <w:spacing w:after="40" w:before="40" w:line="240"/>
              <w:jc w:val="right"/>
            </w:pPr>
            <w:r>
              <w:rPr>
                <w:rFonts w:ascii="Times New Roman" w:cs="David" w:eastAsia="David" w:hAnsi="Times New Roman"/>
                <w:b w:val="false"/>
                <w:bCs w:val="false"/>
                <w:i w:val="false"/>
                <w:iCs w:val="false"/>
                <w:sz w:val="21"/>
                <w:szCs w:val="21"/>
                <w:rtl/>
              </w:rPr>
              <w:t xml:space="preserve">מביצה לבוגר כ-30-40 יום בקיץ.</w:t>
            </w:r>
          </w:p>
          <w:p>
            <w:pPr>
              <w:bidi/>
              <w:spacing w:after="40" w:before="40" w:line="240"/>
              <w:jc w:val="right"/>
            </w:pPr>
            <w:r>
              <w:rPr>
                <w:rFonts w:ascii="Times New Roman" w:cs="David" w:eastAsia="David" w:hAnsi="Times New Roman"/>
                <w:b w:val="false"/>
                <w:bCs w:val="false"/>
                <w:i w:val="false"/>
                <w:iCs w:val="false"/>
                <w:sz w:val="21"/>
                <w:szCs w:val="21"/>
                <w:rtl/>
              </w:rPr>
              <w:t xml:space="preserve">מושבה חד-שנתית: הקמה באביב, שיא בסוף הקיץ, התפרקות בחורף.</w:t>
            </w:r>
          </w:p>
          <w:p>
            <w:pPr>
              <w:bidi/>
              <w:spacing w:after="40" w:before="40" w:line="240"/>
              <w:jc w:val="right"/>
            </w:pPr>
            <w:r>
              <w:rPr>
                <w:rFonts w:ascii="Times New Roman" w:cs="David" w:eastAsia="David" w:hAnsi="Times New Roman"/>
                <w:b w:val="false"/>
                <w:bCs w:val="false"/>
                <w:i w:val="false"/>
                <w:iCs w:val="false"/>
                <w:sz w:val="21"/>
                <w:szCs w:val="21"/>
                <w:rtl/>
              </w:rPr>
              <w:t xml:space="preserve">הפועלת חיה שבועות ספורים; המלכה כשנה.</w:t>
            </w:r>
          </w:p>
        </w:tc>
        <w:tc>
          <w:tcPr>
            <w:tcW w:type="dxa" w:w="3786"/>
            <w:tcMar>
              <w:top w:type="dxa" w:w="60"/>
              <w:left w:type="dxa" w:w="90"/>
              <w:bottom w:type="dxa" w:w="60"/>
              <w:right w:type="dxa" w:w="90"/>
            </w:tcMar>
          </w:tcPr>
          <w:p>
            <w:pPr>
              <w:bidi/>
              <w:spacing w:after="40" w:before="40" w:line="240"/>
              <w:jc w:val="right"/>
            </w:pPr>
            <w:r>
              <w:rPr>
                <w:rFonts w:ascii="Times New Roman" w:cs="David" w:eastAsia="David" w:hAnsi="Times New Roman"/>
                <w:b w:val="false"/>
                <w:bCs w:val="false"/>
                <w:i w:val="false"/>
                <w:iCs w:val="false"/>
                <w:sz w:val="21"/>
                <w:szCs w:val="21"/>
                <w:rtl/>
              </w:rPr>
              <w:t xml:space="preserve">התפתחות ישירה, ללא גלגול. הבוקע דומה לבוגר.</w:t>
            </w:r>
          </w:p>
          <w:p>
            <w:pPr>
              <w:bidi/>
              <w:spacing w:after="40" w:before="40" w:line="240"/>
              <w:jc w:val="right"/>
            </w:pPr>
            <w:r>
              <w:rPr>
                <w:rFonts w:ascii="Times New Roman" w:cs="David" w:eastAsia="David" w:hAnsi="Times New Roman"/>
                <w:b w:val="false"/>
                <w:bCs w:val="false"/>
                <w:i w:val="false"/>
                <w:iCs w:val="false"/>
                <w:sz w:val="21"/>
                <w:szCs w:val="21"/>
                <w:rtl/>
              </w:rPr>
              <w:t xml:space="preserve">דגירה של כ-40-60 יום, תלוי בטמפרטורה.</w:t>
            </w:r>
          </w:p>
          <w:p>
            <w:pPr>
              <w:bidi/>
              <w:spacing w:after="40" w:before="40" w:line="240"/>
              <w:jc w:val="right"/>
            </w:pPr>
            <w:r>
              <w:rPr>
                <w:rFonts w:ascii="Times New Roman" w:cs="David" w:eastAsia="David" w:hAnsi="Times New Roman"/>
                <w:b w:val="false"/>
                <w:bCs w:val="false"/>
                <w:i w:val="false"/>
                <w:iCs w:val="false"/>
                <w:sz w:val="21"/>
                <w:szCs w:val="21"/>
                <w:rtl/>
              </w:rPr>
              <w:t xml:space="preserve">בגרות מינית בגיל שנה עד שנתיים.</w:t>
            </w:r>
          </w:p>
          <w:p>
            <w:pPr>
              <w:bidi/>
              <w:spacing w:after="40" w:before="40" w:line="240"/>
              <w:jc w:val="right"/>
            </w:pPr>
            <w:r>
              <w:rPr>
                <w:rFonts w:ascii="Times New Roman" w:cs="David" w:eastAsia="David" w:hAnsi="Times New Roman"/>
                <w:b w:val="false"/>
                <w:bCs w:val="false"/>
                <w:i w:val="false"/>
                <w:iCs w:val="false"/>
                <w:sz w:val="21"/>
                <w:szCs w:val="21"/>
                <w:rtl/>
              </w:rPr>
              <w:t xml:space="preserve">תוחלת חיים בטבע כמה שנים, ובשבי דווח על יותר.</w:t>
            </w:r>
          </w:p>
        </w:tc>
      </w:tr>
      <w:tr>
        <w:trPr>
          <w:cantSplit/>
          <w:tblHeader w:val="false"/>
        </w:trPr>
        <w:tc>
          <w:tcPr>
            <w:tcW w:type="dxa" w:w="1500"/>
            <w:shd w:fill="F2F2F2" w:color="auto" w:val="clear"/>
            <w:tcMar>
              <w:top w:type="dxa" w:w="60"/>
              <w:left w:type="dxa" w:w="90"/>
              <w:bottom w:type="dxa" w:w="60"/>
              <w:right w:type="dxa" w:w="90"/>
            </w:tcMar>
          </w:tcPr>
          <w:p>
            <w:pPr>
              <w:bidi/>
              <w:spacing w:after="40" w:before="40" w:line="240"/>
              <w:jc w:val="right"/>
            </w:pPr>
            <w:r>
              <w:rPr>
                <w:rFonts w:ascii="Times New Roman" w:cs="David" w:eastAsia="David" w:hAnsi="Times New Roman"/>
                <w:b/>
                <w:bCs/>
                <w:i w:val="false"/>
                <w:iCs w:val="false"/>
                <w:sz w:val="21"/>
                <w:szCs w:val="21"/>
                <w:rtl/>
              </w:rPr>
              <w:t xml:space="preserve">סביבת חיים ותנאים מועדפים</w:t>
            </w:r>
          </w:p>
        </w:tc>
        <w:tc>
          <w:tcPr>
            <w:tcW w:type="dxa" w:w="3786"/>
            <w:tcMar>
              <w:top w:type="dxa" w:w="60"/>
              <w:left w:type="dxa" w:w="90"/>
              <w:bottom w:type="dxa" w:w="60"/>
              <w:right w:type="dxa" w:w="90"/>
            </w:tcMar>
          </w:tcPr>
          <w:p>
            <w:pPr>
              <w:bidi/>
              <w:spacing w:after="40" w:before="40" w:line="240"/>
              <w:jc w:val="right"/>
            </w:pPr>
            <w:r>
              <w:rPr>
                <w:rFonts w:ascii="Times New Roman" w:cs="David" w:eastAsia="David" w:hAnsi="Times New Roman"/>
                <w:b w:val="false"/>
                <w:bCs w:val="false"/>
                <w:i w:val="false"/>
                <w:iCs w:val="false"/>
                <w:sz w:val="21"/>
                <w:szCs w:val="21"/>
                <w:rtl/>
              </w:rPr>
              <w:t xml:space="preserve">אקלים ים תיכוני וחם, פעילה בעיקר באביב ובקיץ.</w:t>
            </w:r>
          </w:p>
          <w:p>
            <w:pPr>
              <w:bidi/>
              <w:spacing w:after="40" w:before="40" w:line="240"/>
              <w:jc w:val="right"/>
            </w:pPr>
            <w:r>
              <w:rPr>
                <w:rFonts w:ascii="Times New Roman" w:cs="David" w:eastAsia="David" w:hAnsi="Times New Roman"/>
                <w:b w:val="false"/>
                <w:bCs w:val="false"/>
                <w:i w:val="false"/>
                <w:iCs w:val="false"/>
                <w:sz w:val="21"/>
                <w:szCs w:val="21"/>
                <w:rtl/>
              </w:rPr>
              <w:t xml:space="preserve">מקננת מתחת לקרקע, בחללי קירות, בין אבנים ובכוורות נטושות.</w:t>
            </w:r>
          </w:p>
          <w:p>
            <w:pPr>
              <w:bidi/>
              <w:spacing w:after="40" w:before="40" w:line="240"/>
              <w:jc w:val="right"/>
            </w:pPr>
            <w:r>
              <w:rPr>
                <w:rFonts w:ascii="Times New Roman" w:cs="David" w:eastAsia="David" w:hAnsi="Times New Roman"/>
                <w:b w:val="false"/>
                <w:bCs w:val="false"/>
                <w:i w:val="false"/>
                <w:iCs w:val="false"/>
                <w:sz w:val="21"/>
                <w:szCs w:val="21"/>
                <w:rtl/>
              </w:rPr>
              <w:t xml:space="preserve">זקוקה לקרבה למקורות מים, לפחמימות ולטרף חלבוני.</w:t>
            </w:r>
          </w:p>
          <w:p>
            <w:pPr>
              <w:bidi/>
              <w:spacing w:after="40" w:before="40" w:line="240"/>
              <w:jc w:val="right"/>
            </w:pPr>
            <w:r>
              <w:rPr>
                <w:rFonts w:ascii="Times New Roman" w:cs="David" w:eastAsia="David" w:hAnsi="Times New Roman"/>
                <w:b w:val="false"/>
                <w:bCs w:val="false"/>
                <w:i w:val="false"/>
                <w:iCs w:val="false"/>
                <w:sz w:val="21"/>
                <w:szCs w:val="21"/>
                <w:rtl/>
              </w:rPr>
              <w:t xml:space="preserve">פעילה ביום, שיא בשעות החמות.</w:t>
            </w:r>
          </w:p>
          <w:p>
            <w:pPr>
              <w:bidi/>
              <w:spacing w:after="40" w:before="40" w:line="240"/>
              <w:jc w:val="right"/>
            </w:pPr>
            <w:r>
              <w:rPr>
                <w:rFonts w:ascii="Times New Roman" w:cs="David" w:eastAsia="David" w:hAnsi="Times New Roman"/>
                <w:b w:val="false"/>
                <w:bCs w:val="false"/>
                <w:i w:val="false"/>
                <w:iCs w:val="false"/>
                <w:sz w:val="21"/>
                <w:szCs w:val="21"/>
                <w:rtl/>
              </w:rPr>
              <w:t xml:space="preserve">המושבה מווסתת את חום הקן ומחזיקה אותו בטווח צר: כ-28 מעלות בתל אביב וכ-35 בים המלח (ויינברגר, 2025).</w:t>
            </w:r>
          </w:p>
        </w:tc>
        <w:tc>
          <w:tcPr>
            <w:tcW w:type="dxa" w:w="3786"/>
            <w:tcMar>
              <w:top w:type="dxa" w:w="60"/>
              <w:left w:type="dxa" w:w="90"/>
              <w:bottom w:type="dxa" w:w="60"/>
              <w:right w:type="dxa" w:w="90"/>
            </w:tcMar>
          </w:tcPr>
          <w:p>
            <w:pPr>
              <w:bidi/>
              <w:spacing w:after="40" w:before="40" w:line="240"/>
              <w:jc w:val="right"/>
            </w:pPr>
            <w:r>
              <w:rPr>
                <w:rFonts w:ascii="Times New Roman" w:cs="David" w:eastAsia="David" w:hAnsi="Times New Roman"/>
                <w:b w:val="false"/>
                <w:bCs w:val="false"/>
                <w:i w:val="false"/>
                <w:iCs w:val="false"/>
                <w:sz w:val="21"/>
                <w:szCs w:val="21"/>
                <w:rtl/>
              </w:rPr>
              <w:t xml:space="preserve">אקלים ים תיכוני וצחיח למחצה, סובלת יובש.</w:t>
            </w:r>
          </w:p>
          <w:p>
            <w:pPr>
              <w:bidi/>
              <w:spacing w:after="40" w:before="40" w:line="240"/>
              <w:jc w:val="right"/>
            </w:pPr>
            <w:r>
              <w:rPr>
                <w:rFonts w:ascii="Times New Roman" w:cs="David" w:eastAsia="David" w:hAnsi="Times New Roman"/>
                <w:b w:val="false"/>
                <w:bCs w:val="false"/>
                <w:i w:val="false"/>
                <w:iCs w:val="false"/>
                <w:sz w:val="21"/>
                <w:szCs w:val="21"/>
                <w:rtl/>
              </w:rPr>
              <w:t xml:space="preserve">קירות, גדרות אבן, סדקים בבניינים, ערמות אבנים.</w:t>
            </w:r>
          </w:p>
          <w:p>
            <w:pPr>
              <w:bidi/>
              <w:spacing w:after="40" w:before="40" w:line="240"/>
              <w:jc w:val="right"/>
            </w:pPr>
            <w:r>
              <w:rPr>
                <w:rFonts w:ascii="Times New Roman" w:cs="David" w:eastAsia="David" w:hAnsi="Times New Roman"/>
                <w:b w:val="false"/>
                <w:bCs w:val="false"/>
                <w:i w:val="false"/>
                <w:iCs w:val="false"/>
                <w:sz w:val="21"/>
                <w:szCs w:val="21"/>
                <w:rtl/>
              </w:rPr>
              <w:t xml:space="preserve">מעדיפה משטחים אנכיים אוגרי חום וקרבה למקור אור.</w:t>
            </w:r>
          </w:p>
          <w:p>
            <w:pPr>
              <w:bidi/>
              <w:spacing w:after="40" w:before="40" w:line="240"/>
              <w:jc w:val="right"/>
            </w:pPr>
            <w:r>
              <w:rPr>
                <w:rFonts w:ascii="Times New Roman" w:cs="David" w:eastAsia="David" w:hAnsi="Times New Roman"/>
                <w:b w:val="false"/>
                <w:bCs w:val="false"/>
                <w:i w:val="false"/>
                <w:iCs w:val="false"/>
                <w:sz w:val="21"/>
                <w:szCs w:val="21"/>
                <w:rtl/>
              </w:rPr>
              <w:t xml:space="preserve">פעילה בלילה; בחורף ממעיטה בפעילות.</w:t>
            </w:r>
          </w:p>
        </w:tc>
      </w:tr>
      <w:tr>
        <w:trPr>
          <w:cantSplit/>
          <w:tblHeader w:val="false"/>
        </w:trPr>
        <w:tc>
          <w:tcPr>
            <w:tcW w:type="dxa" w:w="1500"/>
            <w:shd w:fill="F2F2F2" w:color="auto" w:val="clear"/>
            <w:tcMar>
              <w:top w:type="dxa" w:w="60"/>
              <w:left w:type="dxa" w:w="90"/>
              <w:bottom w:type="dxa" w:w="60"/>
              <w:right w:type="dxa" w:w="90"/>
            </w:tcMar>
          </w:tcPr>
          <w:p>
            <w:pPr>
              <w:bidi/>
              <w:spacing w:after="40" w:before="40" w:line="240"/>
              <w:jc w:val="right"/>
            </w:pPr>
            <w:r>
              <w:rPr>
                <w:rFonts w:ascii="Times New Roman" w:cs="David" w:eastAsia="David" w:hAnsi="Times New Roman"/>
                <w:b/>
                <w:bCs/>
                <w:i w:val="false"/>
                <w:iCs w:val="false"/>
                <w:sz w:val="21"/>
                <w:szCs w:val="21"/>
                <w:rtl/>
              </w:rPr>
              <w:t xml:space="preserve">תפוצה בארץ ובעולם</w:t>
            </w:r>
          </w:p>
        </w:tc>
        <w:tc>
          <w:tcPr>
            <w:tcW w:type="dxa" w:w="3786"/>
            <w:tcMar>
              <w:top w:type="dxa" w:w="60"/>
              <w:left w:type="dxa" w:w="90"/>
              <w:bottom w:type="dxa" w:w="60"/>
              <w:right w:type="dxa" w:w="90"/>
            </w:tcMar>
          </w:tcPr>
          <w:p>
            <w:pPr>
              <w:bidi/>
              <w:spacing w:after="40" w:before="40" w:line="240"/>
              <w:jc w:val="right"/>
            </w:pPr>
            <w:r>
              <w:rPr>
                <w:rFonts w:ascii="Times New Roman" w:cs="David" w:eastAsia="David" w:hAnsi="Times New Roman"/>
                <w:b w:val="false"/>
                <w:bCs w:val="false"/>
                <w:i w:val="false"/>
                <w:iCs w:val="false"/>
                <w:sz w:val="21"/>
                <w:szCs w:val="21"/>
                <w:rtl/>
              </w:rPr>
              <w:t xml:space="preserve">בארץ: כמעט בכל הארץ, ממורדות החרמון (1,400 מ') ועד אילת (ויינברגר, 2025).</w:t>
            </w:r>
          </w:p>
          <w:p>
            <w:pPr>
              <w:bidi/>
              <w:spacing w:after="40" w:before="40" w:line="240"/>
              <w:jc w:val="right"/>
            </w:pPr>
            <w:r>
              <w:rPr>
                <w:rFonts w:ascii="Times New Roman" w:cs="David" w:eastAsia="David" w:hAnsi="Times New Roman"/>
                <w:b w:val="false"/>
                <w:bCs w:val="false"/>
                <w:i w:val="false"/>
                <w:iCs w:val="false"/>
                <w:sz w:val="21"/>
                <w:szCs w:val="21"/>
                <w:rtl/>
              </w:rPr>
              <w:t xml:space="preserve">בעולם: מזרח אגן הים התיכון, צפון אפריקה, דרום-מערב אסיה ודרום אירופה.</w:t>
            </w:r>
          </w:p>
          <w:p>
            <w:pPr>
              <w:bidi/>
              <w:spacing w:after="40" w:before="40" w:line="240"/>
              <w:jc w:val="right"/>
            </w:pPr>
            <w:r>
              <w:rPr>
                <w:rFonts w:ascii="Times New Roman" w:cs="David" w:eastAsia="David" w:hAnsi="Times New Roman"/>
                <w:b w:val="false"/>
                <w:bCs w:val="false"/>
                <w:i w:val="false"/>
                <w:iCs w:val="false"/>
                <w:sz w:val="21"/>
                <w:szCs w:val="21"/>
                <w:rtl/>
              </w:rPr>
              <w:t xml:space="preserve">בגלל האדם: התבססה בדרום אמריקה ובמערב אגן הים התיכון והוגדרה מין פולש (Werenkraut et al., 2022).</w:t>
            </w:r>
          </w:p>
        </w:tc>
        <w:tc>
          <w:tcPr>
            <w:tcW w:type="dxa" w:w="3786"/>
            <w:tcMar>
              <w:top w:type="dxa" w:w="60"/>
              <w:left w:type="dxa" w:w="90"/>
              <w:bottom w:type="dxa" w:w="60"/>
              <w:right w:type="dxa" w:w="90"/>
            </w:tcMar>
          </w:tcPr>
          <w:p>
            <w:pPr>
              <w:bidi/>
              <w:spacing w:after="40" w:before="40" w:line="240"/>
              <w:jc w:val="right"/>
            </w:pPr>
            <w:r>
              <w:rPr>
                <w:rFonts w:ascii="Times New Roman" w:cs="David" w:eastAsia="David" w:hAnsi="Times New Roman"/>
                <w:b w:val="false"/>
                <w:bCs w:val="false"/>
                <w:i w:val="false"/>
                <w:iCs w:val="false"/>
                <w:sz w:val="21"/>
                <w:szCs w:val="21"/>
                <w:rtl/>
              </w:rPr>
              <w:t xml:space="preserve">בארץ: נפוצה מהגליל ועד הנגב, בעיקר בסביבת מבנים.</w:t>
            </w:r>
          </w:p>
          <w:p>
            <w:pPr>
              <w:bidi/>
              <w:spacing w:after="40" w:before="40" w:line="240"/>
              <w:jc w:val="right"/>
            </w:pPr>
            <w:r>
              <w:rPr>
                <w:rFonts w:ascii="Times New Roman" w:cs="David" w:eastAsia="David" w:hAnsi="Times New Roman"/>
                <w:b w:val="false"/>
                <w:bCs w:val="false"/>
                <w:i w:val="false"/>
                <w:iCs w:val="false"/>
                <w:sz w:val="21"/>
                <w:szCs w:val="21"/>
                <w:rtl/>
              </w:rPr>
              <w:t xml:space="preserve">בעולם: מולדתה אגן הים התיכון על שתי גדותיו.</w:t>
            </w:r>
          </w:p>
          <w:p>
            <w:pPr>
              <w:bidi/>
              <w:spacing w:after="40" w:before="40" w:line="240"/>
              <w:jc w:val="right"/>
            </w:pPr>
            <w:r>
              <w:rPr>
                <w:rFonts w:ascii="Times New Roman" w:cs="David" w:eastAsia="David" w:hAnsi="Times New Roman"/>
                <w:b w:val="false"/>
                <w:bCs w:val="false"/>
                <w:i w:val="false"/>
                <w:iCs w:val="false"/>
                <w:sz w:val="21"/>
                <w:szCs w:val="21"/>
                <w:rtl/>
              </w:rPr>
              <w:t xml:space="preserve">בגלל האדם: הועברה במטענים והתבססה בדרום ארה"ב, במקסיקו ובאיים בקריביים (Selcer, 1986).</w:t>
            </w:r>
          </w:p>
          <w:p>
            <w:pPr>
              <w:bidi/>
              <w:spacing w:after="40" w:before="40" w:line="240"/>
              <w:jc w:val="right"/>
            </w:pPr>
            <w:r>
              <w:rPr>
                <w:rFonts w:ascii="Times New Roman" w:cs="David" w:eastAsia="David" w:hAnsi="Times New Roman"/>
                <w:b w:val="false"/>
                <w:bCs w:val="false"/>
                <w:i w:val="false"/>
                <w:iCs w:val="false"/>
                <w:sz w:val="21"/>
                <w:szCs w:val="21"/>
                <w:rtl/>
              </w:rPr>
              <w:t xml:space="preserve">בכיוון ההפוך: שממית החומות המצרית, מין פולש שזוהה בארץ ב-2012, טורפת שממיות מקומיות ומאיימת עליהן (רשות הטבע והגנים, 2024).</w:t>
            </w:r>
          </w:p>
        </w:tc>
      </w:tr>
      <w:tr>
        <w:trPr>
          <w:cantSplit/>
          <w:tblHeader w:val="false"/>
        </w:trPr>
        <w:tc>
          <w:tcPr>
            <w:tcW w:type="dxa" w:w="1500"/>
            <w:shd w:fill="F2F2F2" w:color="auto" w:val="clear"/>
            <w:tcMar>
              <w:top w:type="dxa" w:w="60"/>
              <w:left w:type="dxa" w:w="90"/>
              <w:bottom w:type="dxa" w:w="60"/>
              <w:right w:type="dxa" w:w="90"/>
            </w:tcMar>
          </w:tcPr>
          <w:p>
            <w:pPr>
              <w:bidi/>
              <w:spacing w:after="40" w:before="40" w:line="240"/>
              <w:jc w:val="right"/>
            </w:pPr>
            <w:r>
              <w:rPr>
                <w:rFonts w:ascii="Times New Roman" w:cs="David" w:eastAsia="David" w:hAnsi="Times New Roman"/>
                <w:b/>
                <w:bCs/>
                <w:i w:val="false"/>
                <w:iCs w:val="false"/>
                <w:sz w:val="21"/>
                <w:szCs w:val="21"/>
                <w:rtl/>
              </w:rPr>
              <w:t xml:space="preserve">תזונה ומערכת עיכול</w:t>
            </w:r>
          </w:p>
        </w:tc>
        <w:tc>
          <w:tcPr>
            <w:tcW w:type="dxa" w:w="3786"/>
            <w:tcMar>
              <w:top w:type="dxa" w:w="60"/>
              <w:left w:type="dxa" w:w="90"/>
              <w:bottom w:type="dxa" w:w="60"/>
              <w:right w:type="dxa" w:w="90"/>
            </w:tcMar>
          </w:tcPr>
          <w:p>
            <w:pPr>
              <w:bidi/>
              <w:spacing w:after="40" w:before="40" w:line="240"/>
              <w:jc w:val="right"/>
            </w:pPr>
            <w:r>
              <w:rPr>
                <w:rFonts w:ascii="Times New Roman" w:cs="David" w:eastAsia="David" w:hAnsi="Times New Roman"/>
                <w:b w:val="false"/>
                <w:bCs w:val="false"/>
                <w:i w:val="false"/>
                <w:iCs w:val="false"/>
                <w:sz w:val="21"/>
                <w:szCs w:val="21"/>
                <w:rtl/>
              </w:rPr>
              <w:t xml:space="preserve">בוגרים: פחמימות (צוף, פירות, טל דבש). זחלים: חלבון מן החי.</w:t>
            </w:r>
          </w:p>
          <w:p>
            <w:pPr>
              <w:bidi/>
              <w:spacing w:after="40" w:before="40" w:line="240"/>
              <w:jc w:val="right"/>
            </w:pPr>
            <w:r>
              <w:rPr>
                <w:rFonts w:ascii="Times New Roman" w:cs="David" w:eastAsia="David" w:hAnsi="Times New Roman"/>
                <w:b w:val="false"/>
                <w:bCs w:val="false"/>
                <w:i w:val="false"/>
                <w:iCs w:val="false"/>
                <w:sz w:val="21"/>
                <w:szCs w:val="21"/>
                <w:rtl/>
              </w:rPr>
              <w:t xml:space="preserve">חלקי פה לועסים עם לסתות חזקות.</w:t>
            </w:r>
          </w:p>
          <w:p>
            <w:pPr>
              <w:bidi/>
              <w:spacing w:after="40" w:before="40" w:line="240"/>
              <w:jc w:val="right"/>
            </w:pPr>
            <w:r>
              <w:rPr>
                <w:rFonts w:ascii="Times New Roman" w:cs="David" w:eastAsia="David" w:hAnsi="Times New Roman"/>
                <w:b w:val="false"/>
                <w:bCs w:val="false"/>
                <w:i w:val="false"/>
                <w:iCs w:val="false"/>
                <w:sz w:val="21"/>
                <w:szCs w:val="21"/>
                <w:rtl/>
              </w:rPr>
              <w:t xml:space="preserve">צינור עיכול: זפק, קיבה קדמית, מעי אמצעי עם שקיקים, מעי אחורי; הפרשה בצינורות מלפיגי.</w:t>
            </w:r>
          </w:p>
          <w:p>
            <w:pPr>
              <w:bidi/>
              <w:spacing w:after="40" w:before="40" w:line="240"/>
              <w:jc w:val="right"/>
            </w:pPr>
            <w:r>
              <w:rPr>
                <w:rFonts w:ascii="Times New Roman" w:cs="David" w:eastAsia="David" w:hAnsi="Times New Roman"/>
                <w:b w:val="false"/>
                <w:bCs w:val="false"/>
                <w:i w:val="false"/>
                <w:iCs w:val="false"/>
                <w:sz w:val="21"/>
                <w:szCs w:val="21"/>
                <w:rtl/>
              </w:rPr>
              <w:t xml:space="preserve">טרופלקסיס: הזחל מפריש נוזל סוכרי שהבוגרים ניזונים ממנו (Ishay &amp; Ikan, 1968).</w:t>
            </w:r>
          </w:p>
        </w:tc>
        <w:tc>
          <w:tcPr>
            <w:tcW w:type="dxa" w:w="3786"/>
            <w:tcMar>
              <w:top w:type="dxa" w:w="60"/>
              <w:left w:type="dxa" w:w="90"/>
              <w:bottom w:type="dxa" w:w="60"/>
              <w:right w:type="dxa" w:w="90"/>
            </w:tcMar>
          </w:tcPr>
          <w:p>
            <w:pPr>
              <w:bidi/>
              <w:spacing w:after="40" w:before="40" w:line="240"/>
              <w:jc w:val="right"/>
            </w:pPr>
            <w:r>
              <w:rPr>
                <w:rFonts w:ascii="Times New Roman" w:cs="David" w:eastAsia="David" w:hAnsi="Times New Roman"/>
                <w:b w:val="false"/>
                <w:bCs w:val="false"/>
                <w:i w:val="false"/>
                <w:iCs w:val="false"/>
                <w:sz w:val="21"/>
                <w:szCs w:val="21"/>
                <w:rtl/>
              </w:rPr>
              <w:t xml:space="preserve">חרקים קטנים: עש, יתושים, זבובים, עכבישים.</w:t>
            </w:r>
          </w:p>
          <w:p>
            <w:pPr>
              <w:bidi/>
              <w:spacing w:after="40" w:before="40" w:line="240"/>
              <w:jc w:val="right"/>
            </w:pPr>
            <w:r>
              <w:rPr>
                <w:rFonts w:ascii="Times New Roman" w:cs="David" w:eastAsia="David" w:hAnsi="Times New Roman"/>
                <w:b w:val="false"/>
                <w:bCs w:val="false"/>
                <w:i w:val="false"/>
                <w:iCs w:val="false"/>
                <w:sz w:val="21"/>
                <w:szCs w:val="21"/>
                <w:rtl/>
              </w:rPr>
              <w:t xml:space="preserve">שיניים קטנות ואחידות; הטרף נבלע כמעט בשלמותו.</w:t>
            </w:r>
          </w:p>
          <w:p>
            <w:pPr>
              <w:bidi/>
              <w:spacing w:after="40" w:before="40" w:line="240"/>
              <w:jc w:val="right"/>
            </w:pPr>
            <w:r>
              <w:rPr>
                <w:rFonts w:ascii="Times New Roman" w:cs="David" w:eastAsia="David" w:hAnsi="Times New Roman"/>
                <w:b w:val="false"/>
                <w:bCs w:val="false"/>
                <w:i w:val="false"/>
                <w:iCs w:val="false"/>
                <w:sz w:val="21"/>
                <w:szCs w:val="21"/>
                <w:rtl/>
              </w:rPr>
              <w:t xml:space="preserve">צינור עיכול שלם: לוע, ושט, קיבה, מעי דק, מעי גס, כליות ושלפוחית, והכול מתנקז לביב (קלואקה).</w:t>
            </w:r>
          </w:p>
          <w:p>
            <w:pPr>
              <w:bidi/>
              <w:spacing w:after="40" w:before="40" w:line="240"/>
              <w:jc w:val="right"/>
            </w:pPr>
            <w:r>
              <w:rPr>
                <w:rFonts w:ascii="Times New Roman" w:cs="David" w:eastAsia="David" w:hAnsi="Times New Roman"/>
                <w:b w:val="false"/>
                <w:bCs w:val="false"/>
                <w:i w:val="false"/>
                <w:iCs w:val="false"/>
                <w:sz w:val="21"/>
                <w:szCs w:val="21"/>
                <w:rtl/>
              </w:rPr>
              <w:t xml:space="preserve">הפסולת החנקנית מופרשת כחומצת שתן, חיסכון במים.</w:t>
            </w:r>
          </w:p>
        </w:tc>
      </w:tr>
      <w:tr>
        <w:trPr>
          <w:cantSplit/>
          <w:tblHeader w:val="false"/>
        </w:trPr>
        <w:tc>
          <w:tcPr>
            <w:tcW w:type="dxa" w:w="1500"/>
            <w:shd w:fill="F2F2F2" w:color="auto" w:val="clear"/>
            <w:tcMar>
              <w:top w:type="dxa" w:w="60"/>
              <w:left w:type="dxa" w:w="90"/>
              <w:bottom w:type="dxa" w:w="60"/>
              <w:right w:type="dxa" w:w="90"/>
            </w:tcMar>
          </w:tcPr>
          <w:p>
            <w:pPr>
              <w:bidi/>
              <w:spacing w:after="40" w:before="40" w:line="240"/>
              <w:jc w:val="right"/>
            </w:pPr>
            <w:r>
              <w:rPr>
                <w:rFonts w:ascii="Times New Roman" w:cs="David" w:eastAsia="David" w:hAnsi="Times New Roman"/>
                <w:b/>
                <w:bCs/>
                <w:i w:val="false"/>
                <w:iCs w:val="false"/>
                <w:sz w:val="21"/>
                <w:szCs w:val="21"/>
                <w:rtl/>
              </w:rPr>
              <w:t xml:space="preserve">מערכת הנשימה</w:t>
            </w:r>
          </w:p>
        </w:tc>
        <w:tc>
          <w:tcPr>
            <w:tcW w:type="dxa" w:w="3786"/>
            <w:tcMar>
              <w:top w:type="dxa" w:w="60"/>
              <w:left w:type="dxa" w:w="90"/>
              <w:bottom w:type="dxa" w:w="60"/>
              <w:right w:type="dxa" w:w="90"/>
            </w:tcMar>
          </w:tcPr>
          <w:p>
            <w:pPr>
              <w:bidi/>
              <w:spacing w:after="40" w:before="40" w:line="240"/>
              <w:jc w:val="right"/>
            </w:pPr>
            <w:r>
              <w:rPr>
                <w:rFonts w:ascii="Times New Roman" w:cs="David" w:eastAsia="David" w:hAnsi="Times New Roman"/>
                <w:b w:val="false"/>
                <w:bCs w:val="false"/>
                <w:i w:val="false"/>
                <w:iCs w:val="false"/>
                <w:sz w:val="21"/>
                <w:szCs w:val="21"/>
                <w:rtl/>
              </w:rPr>
              <w:t xml:space="preserve">מערכת קנימים (טרכאות) המסתעפת בכל הגוף ומגיעה ישירות לתאים.</w:t>
            </w:r>
          </w:p>
          <w:p>
            <w:pPr>
              <w:bidi/>
              <w:spacing w:after="40" w:before="40" w:line="240"/>
              <w:jc w:val="right"/>
            </w:pPr>
            <w:r>
              <w:rPr>
                <w:rFonts w:ascii="Times New Roman" w:cs="David" w:eastAsia="David" w:hAnsi="Times New Roman"/>
                <w:b w:val="false"/>
                <w:bCs w:val="false"/>
                <w:i w:val="false"/>
                <w:iCs w:val="false"/>
                <w:sz w:val="21"/>
                <w:szCs w:val="21"/>
                <w:rtl/>
              </w:rPr>
              <w:t xml:space="preserve">כניסת אוויר דרך פתחי נשימה (סטיגמות) בדפנות הגוף.</w:t>
            </w:r>
          </w:p>
          <w:p>
            <w:pPr>
              <w:bidi/>
              <w:spacing w:after="40" w:before="40" w:line="240"/>
              <w:jc w:val="right"/>
            </w:pPr>
            <w:r>
              <w:rPr>
                <w:rFonts w:ascii="Times New Roman" w:cs="David" w:eastAsia="David" w:hAnsi="Times New Roman"/>
                <w:b w:val="false"/>
                <w:bCs w:val="false"/>
                <w:i w:val="false"/>
                <w:iCs w:val="false"/>
                <w:sz w:val="21"/>
                <w:szCs w:val="21"/>
                <w:rtl/>
              </w:rPr>
              <w:t xml:space="preserve">בעיקרה פסיבית, מבוססת דיפוזיה, אך נעזרת בשאיבה אקטיבית של הבטן בזמן מאמץ.</w:t>
            </w:r>
          </w:p>
          <w:p>
            <w:pPr>
              <w:bidi/>
              <w:spacing w:after="40" w:before="40" w:line="240"/>
              <w:jc w:val="right"/>
            </w:pPr>
            <w:r>
              <w:rPr>
                <w:rFonts w:ascii="Times New Roman" w:cs="David" w:eastAsia="David" w:hAnsi="Times New Roman"/>
                <w:b w:val="false"/>
                <w:bCs w:val="false"/>
                <w:i w:val="false"/>
                <w:iCs w:val="false"/>
                <w:sz w:val="21"/>
                <w:szCs w:val="21"/>
                <w:rtl/>
              </w:rPr>
              <w:t xml:space="preserve">הדם אינו נושא חמצן.</w:t>
            </w:r>
          </w:p>
        </w:tc>
        <w:tc>
          <w:tcPr>
            <w:tcW w:type="dxa" w:w="3786"/>
            <w:tcMar>
              <w:top w:type="dxa" w:w="60"/>
              <w:left w:type="dxa" w:w="90"/>
              <w:bottom w:type="dxa" w:w="60"/>
              <w:right w:type="dxa" w:w="90"/>
            </w:tcMar>
          </w:tcPr>
          <w:p>
            <w:pPr>
              <w:bidi/>
              <w:spacing w:after="40" w:before="40" w:line="240"/>
              <w:jc w:val="right"/>
            </w:pPr>
            <w:r>
              <w:rPr>
                <w:rFonts w:ascii="Times New Roman" w:cs="David" w:eastAsia="David" w:hAnsi="Times New Roman"/>
                <w:b w:val="false"/>
                <w:bCs w:val="false"/>
                <w:i w:val="false"/>
                <w:iCs w:val="false"/>
                <w:sz w:val="21"/>
                <w:szCs w:val="21"/>
                <w:rtl/>
              </w:rPr>
              <w:t xml:space="preserve">ריאות זוגיות עם חללים פנימיים המגדילים את שטח הפנים.</w:t>
            </w:r>
          </w:p>
          <w:p>
            <w:pPr>
              <w:bidi/>
              <w:spacing w:after="40" w:before="40" w:line="240"/>
              <w:jc w:val="right"/>
            </w:pPr>
            <w:r>
              <w:rPr>
                <w:rFonts w:ascii="Times New Roman" w:cs="David" w:eastAsia="David" w:hAnsi="Times New Roman"/>
                <w:b w:val="false"/>
                <w:bCs w:val="false"/>
                <w:i w:val="false"/>
                <w:iCs w:val="false"/>
                <w:sz w:val="21"/>
                <w:szCs w:val="21"/>
                <w:rtl/>
              </w:rPr>
              <w:t xml:space="preserve">אוויר נכנס דרך הנחיריים והלוע.</w:t>
            </w:r>
          </w:p>
          <w:p>
            <w:pPr>
              <w:bidi/>
              <w:spacing w:after="40" w:before="40" w:line="240"/>
              <w:jc w:val="right"/>
            </w:pPr>
            <w:r>
              <w:rPr>
                <w:rFonts w:ascii="Times New Roman" w:cs="David" w:eastAsia="David" w:hAnsi="Times New Roman"/>
                <w:b w:val="false"/>
                <w:bCs w:val="false"/>
                <w:i w:val="false"/>
                <w:iCs w:val="false"/>
                <w:sz w:val="21"/>
                <w:szCs w:val="21"/>
                <w:rtl/>
              </w:rPr>
              <w:t xml:space="preserve">אקטיבית: אוורור בלחץ שלילי באמצעות תנועת הצלעות ושרירי הגוף.</w:t>
            </w:r>
          </w:p>
          <w:p>
            <w:pPr>
              <w:bidi/>
              <w:spacing w:after="40" w:before="40" w:line="240"/>
              <w:jc w:val="right"/>
            </w:pPr>
            <w:r>
              <w:rPr>
                <w:rFonts w:ascii="Times New Roman" w:cs="David" w:eastAsia="David" w:hAnsi="Times New Roman"/>
                <w:b w:val="false"/>
                <w:bCs w:val="false"/>
                <w:i w:val="false"/>
                <w:iCs w:val="false"/>
                <w:sz w:val="21"/>
                <w:szCs w:val="21"/>
                <w:rtl/>
              </w:rPr>
              <w:t xml:space="preserve">החמצן נישא בדם הקשור להמוגלובין.</w:t>
            </w:r>
          </w:p>
        </w:tc>
      </w:tr>
      <w:tr>
        <w:trPr>
          <w:cantSplit/>
          <w:tblHeader w:val="false"/>
        </w:trPr>
        <w:tc>
          <w:tcPr>
            <w:tcW w:type="dxa" w:w="1500"/>
            <w:shd w:fill="F2F2F2" w:color="auto" w:val="clear"/>
            <w:tcMar>
              <w:top w:type="dxa" w:w="60"/>
              <w:left w:type="dxa" w:w="90"/>
              <w:bottom w:type="dxa" w:w="60"/>
              <w:right w:type="dxa" w:w="90"/>
            </w:tcMar>
          </w:tcPr>
          <w:p>
            <w:pPr>
              <w:bidi/>
              <w:spacing w:after="40" w:before="40" w:line="240"/>
              <w:jc w:val="right"/>
            </w:pPr>
            <w:r>
              <w:rPr>
                <w:rFonts w:ascii="Times New Roman" w:cs="David" w:eastAsia="David" w:hAnsi="Times New Roman"/>
                <w:b/>
                <w:bCs/>
                <w:i w:val="false"/>
                <w:iCs w:val="false"/>
                <w:sz w:val="21"/>
                <w:szCs w:val="21"/>
                <w:rtl/>
              </w:rPr>
              <w:t xml:space="preserve">מערכת הדם</w:t>
            </w:r>
          </w:p>
        </w:tc>
        <w:tc>
          <w:tcPr>
            <w:tcW w:type="dxa" w:w="3786"/>
            <w:tcMar>
              <w:top w:type="dxa" w:w="60"/>
              <w:left w:type="dxa" w:w="90"/>
              <w:bottom w:type="dxa" w:w="60"/>
              <w:right w:type="dxa" w:w="90"/>
            </w:tcMar>
          </w:tcPr>
          <w:p>
            <w:pPr>
              <w:bidi/>
              <w:spacing w:after="40" w:before="40" w:line="240"/>
              <w:jc w:val="right"/>
            </w:pPr>
            <w:r>
              <w:rPr>
                <w:rFonts w:ascii="Times New Roman" w:cs="David" w:eastAsia="David" w:hAnsi="Times New Roman"/>
                <w:b w:val="false"/>
                <w:bCs w:val="false"/>
                <w:i w:val="false"/>
                <w:iCs w:val="false"/>
                <w:sz w:val="21"/>
                <w:szCs w:val="21"/>
                <w:rtl/>
              </w:rPr>
              <w:t xml:space="preserve">מערכת פתוחה: ההמולימפה זורמת בחלל הגוף ורוחצת את האיברים ישירות.</w:t>
            </w:r>
          </w:p>
          <w:p>
            <w:pPr>
              <w:bidi/>
              <w:spacing w:after="40" w:before="40" w:line="240"/>
              <w:jc w:val="right"/>
            </w:pPr>
            <w:r>
              <w:rPr>
                <w:rFonts w:ascii="Times New Roman" w:cs="David" w:eastAsia="David" w:hAnsi="Times New Roman"/>
                <w:b w:val="false"/>
                <w:bCs w:val="false"/>
                <w:i w:val="false"/>
                <w:iCs w:val="false"/>
                <w:sz w:val="21"/>
                <w:szCs w:val="21"/>
                <w:rtl/>
              </w:rPr>
              <w:t xml:space="preserve">כלי דם גבי אחד ובו סדרת חדרים ופתחי כניסה (אוסטיה), הפועל כלב.</w:t>
            </w:r>
          </w:p>
          <w:p>
            <w:pPr>
              <w:bidi/>
              <w:spacing w:after="40" w:before="40" w:line="240"/>
              <w:jc w:val="right"/>
            </w:pPr>
            <w:r>
              <w:rPr>
                <w:rFonts w:ascii="Times New Roman" w:cs="David" w:eastAsia="David" w:hAnsi="Times New Roman"/>
                <w:b w:val="false"/>
                <w:bCs w:val="false"/>
                <w:i w:val="false"/>
                <w:iCs w:val="false"/>
                <w:sz w:val="21"/>
                <w:szCs w:val="21"/>
                <w:rtl/>
              </w:rPr>
              <w:t xml:space="preserve">ההמולימפה מובילה מזון, הורמונים ותאי חיסון, ולא חמצן.</w:t>
            </w:r>
          </w:p>
        </w:tc>
        <w:tc>
          <w:tcPr>
            <w:tcW w:type="dxa" w:w="3786"/>
            <w:tcMar>
              <w:top w:type="dxa" w:w="60"/>
              <w:left w:type="dxa" w:w="90"/>
              <w:bottom w:type="dxa" w:w="60"/>
              <w:right w:type="dxa" w:w="90"/>
            </w:tcMar>
          </w:tcPr>
          <w:p>
            <w:pPr>
              <w:bidi/>
              <w:spacing w:after="40" w:before="40" w:line="240"/>
              <w:jc w:val="right"/>
            </w:pPr>
            <w:r>
              <w:rPr>
                <w:rFonts w:ascii="Times New Roman" w:cs="David" w:eastAsia="David" w:hAnsi="Times New Roman"/>
                <w:b w:val="false"/>
                <w:bCs w:val="false"/>
                <w:i w:val="false"/>
                <w:iCs w:val="false"/>
                <w:sz w:val="21"/>
                <w:szCs w:val="21"/>
                <w:rtl/>
              </w:rPr>
              <w:t xml:space="preserve">מערכת סגורה: הדם נע בעורקים, בנימים ובוורידים בלבד.</w:t>
            </w:r>
          </w:p>
          <w:p>
            <w:pPr>
              <w:bidi/>
              <w:spacing w:after="40" w:before="40" w:line="240"/>
              <w:jc w:val="right"/>
            </w:pPr>
            <w:r>
              <w:rPr>
                <w:rFonts w:ascii="Times New Roman" w:cs="David" w:eastAsia="David" w:hAnsi="Times New Roman"/>
                <w:b w:val="false"/>
                <w:bCs w:val="false"/>
                <w:i w:val="false"/>
                <w:iCs w:val="false"/>
                <w:sz w:val="21"/>
                <w:szCs w:val="21"/>
                <w:rtl/>
              </w:rPr>
              <w:t xml:space="preserve">לב תלת-מדורי: שתי עליות וחדר אחד המחולק חלקית, שמפחית ערבוב בין דם עשיר לדל בחמצן.</w:t>
            </w:r>
          </w:p>
          <w:p>
            <w:pPr>
              <w:bidi/>
              <w:spacing w:after="40" w:before="40" w:line="240"/>
              <w:jc w:val="right"/>
            </w:pPr>
            <w:r>
              <w:rPr>
                <w:rFonts w:ascii="Times New Roman" w:cs="David" w:eastAsia="David" w:hAnsi="Times New Roman"/>
                <w:b w:val="false"/>
                <w:bCs w:val="false"/>
                <w:i w:val="false"/>
                <w:iCs w:val="false"/>
                <w:sz w:val="21"/>
                <w:szCs w:val="21"/>
                <w:rtl/>
              </w:rPr>
              <w:t xml:space="preserve">הדם מוביל חמצן, מזון ופסולת.</w:t>
            </w:r>
          </w:p>
        </w:tc>
      </w:tr>
      <w:tr>
        <w:trPr>
          <w:cantSplit/>
          <w:tblHeader w:val="false"/>
        </w:trPr>
        <w:tc>
          <w:tcPr>
            <w:tcW w:type="dxa" w:w="1500"/>
            <w:shd w:fill="F2F2F2" w:color="auto" w:val="clear"/>
            <w:tcMar>
              <w:top w:type="dxa" w:w="60"/>
              <w:left w:type="dxa" w:w="90"/>
              <w:bottom w:type="dxa" w:w="60"/>
              <w:right w:type="dxa" w:w="90"/>
            </w:tcMar>
          </w:tcPr>
          <w:p>
            <w:pPr>
              <w:bidi/>
              <w:spacing w:after="40" w:before="40" w:line="240"/>
              <w:jc w:val="right"/>
            </w:pPr>
            <w:r>
              <w:rPr>
                <w:rFonts w:ascii="Times New Roman" w:cs="David" w:eastAsia="David" w:hAnsi="Times New Roman"/>
                <w:b/>
                <w:bCs/>
                <w:i w:val="false"/>
                <w:iCs w:val="false"/>
                <w:sz w:val="21"/>
                <w:szCs w:val="21"/>
                <w:rtl/>
              </w:rPr>
              <w:t xml:space="preserve">מערכת העצבים (כולל מוח)</w:t>
            </w:r>
          </w:p>
        </w:tc>
        <w:tc>
          <w:tcPr>
            <w:tcW w:type="dxa" w:w="3786"/>
            <w:tcMar>
              <w:top w:type="dxa" w:w="60"/>
              <w:left w:type="dxa" w:w="90"/>
              <w:bottom w:type="dxa" w:w="60"/>
              <w:right w:type="dxa" w:w="90"/>
            </w:tcMar>
          </w:tcPr>
          <w:p>
            <w:pPr>
              <w:bidi/>
              <w:spacing w:after="40" w:before="40" w:line="240"/>
              <w:jc w:val="right"/>
            </w:pPr>
            <w:r>
              <w:rPr>
                <w:rFonts w:ascii="Times New Roman" w:cs="David" w:eastAsia="David" w:hAnsi="Times New Roman"/>
                <w:b w:val="false"/>
                <w:bCs w:val="false"/>
                <w:i w:val="false"/>
                <w:iCs w:val="false"/>
                <w:sz w:val="21"/>
                <w:szCs w:val="21"/>
                <w:rtl/>
              </w:rPr>
              <w:t xml:space="preserve">מוח פשוט יחסית: גנגליון על-לועי, ומתחתיו חוט עצבים גחוני עם גנגליונים בכל טבעת.</w:t>
            </w:r>
          </w:p>
          <w:p>
            <w:pPr>
              <w:bidi/>
              <w:spacing w:after="40" w:before="40" w:line="240"/>
              <w:jc w:val="right"/>
            </w:pPr>
            <w:r>
              <w:rPr>
                <w:rFonts w:ascii="Times New Roman" w:cs="David" w:eastAsia="David" w:hAnsi="Times New Roman"/>
                <w:b w:val="false"/>
                <w:bCs w:val="false"/>
                <w:i w:val="false"/>
                <w:iCs w:val="false"/>
                <w:sz w:val="21"/>
                <w:szCs w:val="21"/>
                <w:rtl/>
              </w:rPr>
              <w:t xml:space="preserve">פעולות רבות נשלטות מקומית בגנגליון הטבעתי גם בלי המוח.</w:t>
            </w:r>
          </w:p>
          <w:p>
            <w:pPr>
              <w:bidi/>
              <w:spacing w:after="40" w:before="40" w:line="240"/>
              <w:jc w:val="right"/>
            </w:pPr>
            <w:r>
              <w:rPr>
                <w:rFonts w:ascii="Times New Roman" w:cs="David" w:eastAsia="David" w:hAnsi="Times New Roman"/>
                <w:b w:val="false"/>
                <w:bCs w:val="false"/>
                <w:i w:val="false"/>
                <w:iCs w:val="false"/>
                <w:sz w:val="21"/>
                <w:szCs w:val="21"/>
                <w:rtl/>
              </w:rPr>
              <w:t xml:space="preserve">גופיפי הפטרייה במוח קשורים בלמידה, בזיכרון ריח ובהתמצאות במרחב.</w:t>
            </w:r>
          </w:p>
          <w:p>
            <w:pPr>
              <w:bidi/>
              <w:spacing w:after="40" w:before="40" w:line="240"/>
              <w:jc w:val="right"/>
            </w:pPr>
            <w:r>
              <w:rPr>
                <w:rFonts w:ascii="Times New Roman" w:cs="David" w:eastAsia="David" w:hAnsi="Times New Roman"/>
                <w:b w:val="false"/>
                <w:bCs w:val="false"/>
                <w:i w:val="false"/>
                <w:iCs w:val="false"/>
                <w:sz w:val="21"/>
                <w:szCs w:val="21"/>
                <w:rtl/>
              </w:rPr>
              <w:t xml:space="preserve">מורכבות התנהגותית גבוהה בזכות ארגון חברתי, לא בזכות מוח גדול.</w:t>
            </w:r>
          </w:p>
        </w:tc>
        <w:tc>
          <w:tcPr>
            <w:tcW w:type="dxa" w:w="3786"/>
            <w:tcMar>
              <w:top w:type="dxa" w:w="60"/>
              <w:left w:type="dxa" w:w="90"/>
              <w:bottom w:type="dxa" w:w="60"/>
              <w:right w:type="dxa" w:w="90"/>
            </w:tcMar>
          </w:tcPr>
          <w:p>
            <w:pPr>
              <w:bidi/>
              <w:spacing w:after="40" w:before="40" w:line="240"/>
              <w:jc w:val="right"/>
            </w:pPr>
            <w:r>
              <w:rPr>
                <w:rFonts w:ascii="Times New Roman" w:cs="David" w:eastAsia="David" w:hAnsi="Times New Roman"/>
                <w:b w:val="false"/>
                <w:bCs w:val="false"/>
                <w:i w:val="false"/>
                <w:iCs w:val="false"/>
                <w:sz w:val="21"/>
                <w:szCs w:val="21"/>
                <w:rtl/>
              </w:rPr>
              <w:t xml:space="preserve">מוח אמיתי בעל חלוקה לאונות: מוח קדמי, מוח אמצעי ומוח אחורי עם מוחון.</w:t>
            </w:r>
          </w:p>
          <w:p>
            <w:pPr>
              <w:bidi/>
              <w:spacing w:after="40" w:before="40" w:line="240"/>
              <w:jc w:val="right"/>
            </w:pPr>
            <w:r>
              <w:rPr>
                <w:rFonts w:ascii="Times New Roman" w:cs="David" w:eastAsia="David" w:hAnsi="Times New Roman"/>
                <w:b w:val="false"/>
                <w:bCs w:val="false"/>
                <w:i w:val="false"/>
                <w:iCs w:val="false"/>
                <w:sz w:val="21"/>
                <w:szCs w:val="21"/>
                <w:rtl/>
              </w:rPr>
              <w:t xml:space="preserve">חוט שדרה גבי מוגן בתעלת החוליות, ומתפצלים ממנו עצבים היקפיים.</w:t>
            </w:r>
          </w:p>
          <w:p>
            <w:pPr>
              <w:bidi/>
              <w:spacing w:after="40" w:before="40" w:line="240"/>
              <w:jc w:val="right"/>
            </w:pPr>
            <w:r>
              <w:rPr>
                <w:rFonts w:ascii="Times New Roman" w:cs="David" w:eastAsia="David" w:hAnsi="Times New Roman"/>
                <w:b w:val="false"/>
                <w:bCs w:val="false"/>
                <w:i w:val="false"/>
                <w:iCs w:val="false"/>
                <w:sz w:val="21"/>
                <w:szCs w:val="21"/>
                <w:rtl/>
              </w:rPr>
              <w:t xml:space="preserve">שליטה מרכזית בתנועה, ולמידה מרחבית טובה של אזור המחיה.</w:t>
            </w:r>
          </w:p>
          <w:p>
            <w:pPr>
              <w:bidi/>
              <w:spacing w:after="40" w:before="40" w:line="240"/>
              <w:jc w:val="right"/>
            </w:pPr>
            <w:r>
              <w:rPr>
                <w:rFonts w:ascii="Times New Roman" w:cs="David" w:eastAsia="David" w:hAnsi="Times New Roman"/>
                <w:b w:val="false"/>
                <w:bCs w:val="false"/>
                <w:i w:val="false"/>
                <w:iCs w:val="false"/>
                <w:sz w:val="21"/>
                <w:szCs w:val="21"/>
                <w:rtl/>
              </w:rPr>
              <w:t xml:space="preserve">מורכבות גבוהה יותר ברמת הפרט הבודד.</w:t>
            </w:r>
          </w:p>
        </w:tc>
      </w:tr>
      <w:tr>
        <w:trPr>
          <w:cantSplit/>
          <w:tblHeader w:val="false"/>
        </w:trPr>
        <w:tc>
          <w:tcPr>
            <w:tcW w:type="dxa" w:w="1500"/>
            <w:shd w:fill="F2F2F2" w:color="auto" w:val="clear"/>
            <w:tcMar>
              <w:top w:type="dxa" w:w="60"/>
              <w:left w:type="dxa" w:w="90"/>
              <w:bottom w:type="dxa" w:w="60"/>
              <w:right w:type="dxa" w:w="90"/>
            </w:tcMar>
          </w:tcPr>
          <w:p>
            <w:pPr>
              <w:bidi/>
              <w:spacing w:after="40" w:before="40" w:line="240"/>
              <w:jc w:val="right"/>
            </w:pPr>
            <w:r>
              <w:rPr>
                <w:rFonts w:ascii="Times New Roman" w:cs="David" w:eastAsia="David" w:hAnsi="Times New Roman"/>
                <w:b/>
                <w:bCs/>
                <w:i w:val="false"/>
                <w:iCs w:val="false"/>
                <w:sz w:val="21"/>
                <w:szCs w:val="21"/>
                <w:rtl/>
              </w:rPr>
              <w:t xml:space="preserve">חושים עיקריים</w:t>
            </w:r>
          </w:p>
        </w:tc>
        <w:tc>
          <w:tcPr>
            <w:tcW w:type="dxa" w:w="3786"/>
            <w:tcMar>
              <w:top w:type="dxa" w:w="60"/>
              <w:left w:type="dxa" w:w="90"/>
              <w:bottom w:type="dxa" w:w="60"/>
              <w:right w:type="dxa" w:w="90"/>
            </w:tcMar>
          </w:tcPr>
          <w:p>
            <w:pPr>
              <w:bidi/>
              <w:spacing w:after="40" w:before="40" w:line="240"/>
              <w:jc w:val="right"/>
            </w:pPr>
            <w:r>
              <w:rPr>
                <w:rFonts w:ascii="Times New Roman" w:cs="David" w:eastAsia="David" w:hAnsi="Times New Roman"/>
                <w:b w:val="false"/>
                <w:bCs w:val="false"/>
                <w:i w:val="false"/>
                <w:iCs w:val="false"/>
                <w:sz w:val="21"/>
                <w:szCs w:val="21"/>
                <w:rtl/>
              </w:rPr>
              <w:t xml:space="preserve">ריח וטעם, החושים המובילים; נקלטים בעיקר במחושים ומשמשים לזיהוי בני המושבה, מזון ופרומוני אזעקה.</w:t>
            </w:r>
          </w:p>
          <w:p>
            <w:pPr>
              <w:bidi/>
              <w:spacing w:after="40" w:before="40" w:line="240"/>
              <w:jc w:val="right"/>
            </w:pPr>
            <w:r>
              <w:rPr>
                <w:rFonts w:ascii="Times New Roman" w:cs="David" w:eastAsia="David" w:hAnsi="Times New Roman"/>
                <w:b w:val="false"/>
                <w:bCs w:val="false"/>
                <w:i w:val="false"/>
                <w:iCs w:val="false"/>
                <w:sz w:val="21"/>
                <w:szCs w:val="21"/>
                <w:rtl/>
              </w:rPr>
              <w:t xml:space="preserve">ראייה: זוג עיני פסיפס גדולות ושלוש עיניות פשוטות; רגישות גבוהה לתנועה.</w:t>
            </w:r>
          </w:p>
          <w:p>
            <w:pPr>
              <w:bidi/>
              <w:spacing w:after="40" w:before="40" w:line="240"/>
              <w:jc w:val="right"/>
            </w:pPr>
            <w:r>
              <w:rPr>
                <w:rFonts w:ascii="Times New Roman" w:cs="David" w:eastAsia="David" w:hAnsi="Times New Roman"/>
                <w:b w:val="false"/>
                <w:bCs w:val="false"/>
                <w:i w:val="false"/>
                <w:iCs w:val="false"/>
                <w:sz w:val="21"/>
                <w:szCs w:val="21"/>
                <w:rtl/>
              </w:rPr>
              <w:t xml:space="preserve">מישוש באמצעות זיפים על פני הגוף.</w:t>
            </w:r>
          </w:p>
        </w:tc>
        <w:tc>
          <w:tcPr>
            <w:tcW w:type="dxa" w:w="3786"/>
            <w:tcMar>
              <w:top w:type="dxa" w:w="60"/>
              <w:left w:type="dxa" w:w="90"/>
              <w:bottom w:type="dxa" w:w="60"/>
              <w:right w:type="dxa" w:w="90"/>
            </w:tcMar>
          </w:tcPr>
          <w:p>
            <w:pPr>
              <w:bidi/>
              <w:spacing w:after="40" w:before="40" w:line="240"/>
              <w:jc w:val="right"/>
            </w:pPr>
            <w:r>
              <w:rPr>
                <w:rFonts w:ascii="Times New Roman" w:cs="David" w:eastAsia="David" w:hAnsi="Times New Roman"/>
                <w:b w:val="false"/>
                <w:bCs w:val="false"/>
                <w:i w:val="false"/>
                <w:iCs w:val="false"/>
                <w:sz w:val="21"/>
                <w:szCs w:val="21"/>
                <w:rtl/>
              </w:rPr>
              <w:t xml:space="preserve">ראייה, החוש המוביל; עין גדולה, אישון אנכי ורשתית המותאמת לראייה בעוצמות אור נמוכות (Roth &amp; Kelber, 2004).</w:t>
            </w:r>
          </w:p>
          <w:p>
            <w:pPr>
              <w:bidi/>
              <w:spacing w:after="40" w:before="40" w:line="240"/>
              <w:jc w:val="right"/>
            </w:pPr>
            <w:r>
              <w:rPr>
                <w:rFonts w:ascii="Times New Roman" w:cs="David" w:eastAsia="David" w:hAnsi="Times New Roman"/>
                <w:b w:val="false"/>
                <w:bCs w:val="false"/>
                <w:i w:val="false"/>
                <w:iCs w:val="false"/>
                <w:sz w:val="21"/>
                <w:szCs w:val="21"/>
                <w:rtl/>
              </w:rPr>
              <w:t xml:space="preserve">ריח וחוש כימי דרך הלשון ואיבר יעקובסון.</w:t>
            </w:r>
          </w:p>
          <w:p>
            <w:pPr>
              <w:bidi/>
              <w:spacing w:after="40" w:before="40" w:line="240"/>
              <w:jc w:val="right"/>
            </w:pPr>
            <w:r>
              <w:rPr>
                <w:rFonts w:ascii="Times New Roman" w:cs="David" w:eastAsia="David" w:hAnsi="Times New Roman"/>
                <w:b w:val="false"/>
                <w:bCs w:val="false"/>
                <w:i w:val="false"/>
                <w:iCs w:val="false"/>
                <w:sz w:val="21"/>
                <w:szCs w:val="21"/>
                <w:rtl/>
              </w:rPr>
              <w:t xml:space="preserve">שמיעה של ממש, כולל תקשורת קולית (Bauer, 2013).</w:t>
            </w:r>
          </w:p>
        </w:tc>
      </w:tr>
      <w:tr>
        <w:trPr>
          <w:cantSplit/>
          <w:tblHeader w:val="false"/>
        </w:trPr>
        <w:tc>
          <w:tcPr>
            <w:tcW w:type="dxa" w:w="1500"/>
            <w:shd w:fill="F2F2F2" w:color="auto" w:val="clear"/>
            <w:tcMar>
              <w:top w:type="dxa" w:w="60"/>
              <w:left w:type="dxa" w:w="90"/>
              <w:bottom w:type="dxa" w:w="60"/>
              <w:right w:type="dxa" w:w="90"/>
            </w:tcMar>
          </w:tcPr>
          <w:p>
            <w:pPr>
              <w:bidi/>
              <w:spacing w:after="40" w:before="40" w:line="240"/>
              <w:jc w:val="right"/>
            </w:pPr>
            <w:r>
              <w:rPr>
                <w:rFonts w:ascii="Times New Roman" w:cs="David" w:eastAsia="David" w:hAnsi="Times New Roman"/>
                <w:b/>
                <w:bCs/>
                <w:i w:val="false"/>
                <w:iCs w:val="false"/>
                <w:sz w:val="21"/>
                <w:szCs w:val="21"/>
                <w:rtl/>
              </w:rPr>
              <w:t xml:space="preserve">אופן התנועה</w:t>
            </w:r>
          </w:p>
        </w:tc>
        <w:tc>
          <w:tcPr>
            <w:tcW w:type="dxa" w:w="3786"/>
            <w:tcMar>
              <w:top w:type="dxa" w:w="60"/>
              <w:left w:type="dxa" w:w="90"/>
              <w:bottom w:type="dxa" w:w="60"/>
              <w:right w:type="dxa" w:w="90"/>
            </w:tcMar>
          </w:tcPr>
          <w:p>
            <w:pPr>
              <w:bidi/>
              <w:spacing w:after="40" w:before="40" w:line="240"/>
              <w:jc w:val="right"/>
            </w:pPr>
            <w:r>
              <w:rPr>
                <w:rFonts w:ascii="Times New Roman" w:cs="David" w:eastAsia="David" w:hAnsi="Times New Roman"/>
                <w:b w:val="false"/>
                <w:bCs w:val="false"/>
                <w:i w:val="false"/>
                <w:iCs w:val="false"/>
                <w:sz w:val="21"/>
                <w:szCs w:val="21"/>
                <w:rtl/>
              </w:rPr>
              <w:t xml:space="preserve">תווך עיקרי: אוויר. תעופה בשני זוגות כנפיים קרומיות המחוברות זו לזו בווים.</w:t>
            </w:r>
          </w:p>
          <w:p>
            <w:pPr>
              <w:bidi/>
              <w:spacing w:after="40" w:before="40" w:line="240"/>
              <w:jc w:val="right"/>
            </w:pPr>
            <w:r>
              <w:rPr>
                <w:rFonts w:ascii="Times New Roman" w:cs="David" w:eastAsia="David" w:hAnsi="Times New Roman"/>
                <w:b w:val="false"/>
                <w:bCs w:val="false"/>
                <w:i w:val="false"/>
                <w:iCs w:val="false"/>
                <w:sz w:val="21"/>
                <w:szCs w:val="21"/>
                <w:rtl/>
              </w:rPr>
              <w:t xml:space="preserve">התעופה מונעת בשרירים עקיפים המעוותים את בית החזה.</w:t>
            </w:r>
          </w:p>
          <w:p>
            <w:pPr>
              <w:bidi/>
              <w:spacing w:after="40" w:before="40" w:line="240"/>
              <w:jc w:val="right"/>
            </w:pPr>
            <w:r>
              <w:rPr>
                <w:rFonts w:ascii="Times New Roman" w:cs="David" w:eastAsia="David" w:hAnsi="Times New Roman"/>
                <w:b w:val="false"/>
                <w:bCs w:val="false"/>
                <w:i w:val="false"/>
                <w:iCs w:val="false"/>
                <w:sz w:val="21"/>
                <w:szCs w:val="21"/>
                <w:rtl/>
              </w:rPr>
              <w:t xml:space="preserve">שש רגליים המשמשות להליכה, לאחיזה בטרף ולבניית הקן.</w:t>
            </w:r>
          </w:p>
        </w:tc>
        <w:tc>
          <w:tcPr>
            <w:tcW w:type="dxa" w:w="3786"/>
            <w:tcMar>
              <w:top w:type="dxa" w:w="60"/>
              <w:left w:type="dxa" w:w="90"/>
              <w:bottom w:type="dxa" w:w="60"/>
              <w:right w:type="dxa" w:w="90"/>
            </w:tcMar>
          </w:tcPr>
          <w:p>
            <w:pPr>
              <w:bidi/>
              <w:spacing w:after="40" w:before="40" w:line="240"/>
              <w:jc w:val="right"/>
            </w:pPr>
            <w:r>
              <w:rPr>
                <w:rFonts w:ascii="Times New Roman" w:cs="David" w:eastAsia="David" w:hAnsi="Times New Roman"/>
                <w:b w:val="false"/>
                <w:bCs w:val="false"/>
                <w:i w:val="false"/>
                <w:iCs w:val="false"/>
                <w:sz w:val="21"/>
                <w:szCs w:val="21"/>
                <w:rtl/>
              </w:rPr>
              <w:t xml:space="preserve">תווך עיקרי: יבשה, כולל משטחים אנכיים והפוכים.</w:t>
            </w:r>
          </w:p>
          <w:p>
            <w:pPr>
              <w:bidi/>
              <w:spacing w:after="40" w:before="40" w:line="240"/>
              <w:jc w:val="right"/>
            </w:pPr>
            <w:r>
              <w:rPr>
                <w:rFonts w:ascii="Times New Roman" w:cs="David" w:eastAsia="David" w:hAnsi="Times New Roman"/>
                <w:b w:val="false"/>
                <w:bCs w:val="false"/>
                <w:i w:val="false"/>
                <w:iCs w:val="false"/>
                <w:sz w:val="21"/>
                <w:szCs w:val="21"/>
                <w:rtl/>
              </w:rPr>
              <w:t xml:space="preserve">הליכה וריצה על ארבע גפיים בתנועה גלית של הגו.</w:t>
            </w:r>
          </w:p>
          <w:p>
            <w:pPr>
              <w:bidi/>
              <w:spacing w:after="40" w:before="40" w:line="240"/>
              <w:jc w:val="right"/>
            </w:pPr>
            <w:r>
              <w:rPr>
                <w:rFonts w:ascii="Times New Roman" w:cs="David" w:eastAsia="David" w:hAnsi="Times New Roman"/>
                <w:b w:val="false"/>
                <w:bCs w:val="false"/>
                <w:i w:val="false"/>
                <w:iCs w:val="false"/>
                <w:sz w:val="21"/>
                <w:szCs w:val="21"/>
                <w:rtl/>
              </w:rPr>
              <w:t xml:space="preserve">כריות היצמדות המאפשרות טיפוס על זכוכית ועל תקרות (Autumn et al., 2000).</w:t>
            </w:r>
          </w:p>
        </w:tc>
      </w:tr>
      <w:tr>
        <w:trPr>
          <w:cantSplit/>
          <w:tblHeader w:val="false"/>
        </w:trPr>
        <w:tc>
          <w:tcPr>
            <w:tcW w:type="dxa" w:w="1500"/>
            <w:shd w:fill="F2F2F2" w:color="auto" w:val="clear"/>
            <w:tcMar>
              <w:top w:type="dxa" w:w="60"/>
              <w:left w:type="dxa" w:w="90"/>
              <w:bottom w:type="dxa" w:w="60"/>
              <w:right w:type="dxa" w:w="90"/>
            </w:tcMar>
          </w:tcPr>
          <w:p>
            <w:pPr>
              <w:bidi/>
              <w:spacing w:after="40" w:before="40" w:line="240"/>
              <w:jc w:val="right"/>
            </w:pPr>
            <w:r>
              <w:rPr>
                <w:rFonts w:ascii="Times New Roman" w:cs="David" w:eastAsia="David" w:hAnsi="Times New Roman"/>
                <w:b/>
                <w:bCs/>
                <w:i w:val="false"/>
                <w:iCs w:val="false"/>
                <w:sz w:val="21"/>
                <w:szCs w:val="21"/>
                <w:rtl/>
              </w:rPr>
              <w:t xml:space="preserve">אמצעי הגנה</w:t>
            </w:r>
          </w:p>
        </w:tc>
        <w:tc>
          <w:tcPr>
            <w:tcW w:type="dxa" w:w="3786"/>
            <w:tcMar>
              <w:top w:type="dxa" w:w="60"/>
              <w:left w:type="dxa" w:w="90"/>
              <w:bottom w:type="dxa" w:w="60"/>
              <w:right w:type="dxa" w:w="90"/>
            </w:tcMar>
          </w:tcPr>
          <w:p>
            <w:pPr>
              <w:bidi/>
              <w:spacing w:after="40" w:before="40" w:line="240"/>
              <w:jc w:val="right"/>
            </w:pPr>
            <w:r>
              <w:rPr>
                <w:rFonts w:ascii="Times New Roman" w:cs="David" w:eastAsia="David" w:hAnsi="Times New Roman"/>
                <w:b w:val="false"/>
                <w:bCs w:val="false"/>
                <w:i w:val="false"/>
                <w:iCs w:val="false"/>
                <w:sz w:val="21"/>
                <w:szCs w:val="21"/>
                <w:rtl/>
              </w:rPr>
              <w:t xml:space="preserve">אקטיבי: עוקץ, שהוא צינור הטלה שעבר שינוי ולכן קיים בנקבות בלבד; ניתן לעקוץ שוב ושוב.</w:t>
            </w:r>
          </w:p>
          <w:p>
            <w:pPr>
              <w:bidi/>
              <w:spacing w:after="40" w:before="40" w:line="240"/>
              <w:jc w:val="right"/>
            </w:pPr>
            <w:r>
              <w:rPr>
                <w:rFonts w:ascii="Times New Roman" w:cs="David" w:eastAsia="David" w:hAnsi="Times New Roman"/>
                <w:b w:val="false"/>
                <w:bCs w:val="false"/>
                <w:i w:val="false"/>
                <w:iCs w:val="false"/>
                <w:sz w:val="21"/>
                <w:szCs w:val="21"/>
                <w:rtl/>
              </w:rPr>
              <w:t xml:space="preserve">כימי: ארס וכן פרומון אזעקה המגייס פועלות נוספות תוך שניות.</w:t>
            </w:r>
          </w:p>
          <w:p>
            <w:pPr>
              <w:bidi/>
              <w:spacing w:after="40" w:before="40" w:line="240"/>
              <w:jc w:val="right"/>
            </w:pPr>
            <w:r>
              <w:rPr>
                <w:rFonts w:ascii="Times New Roman" w:cs="David" w:eastAsia="David" w:hAnsi="Times New Roman"/>
                <w:b w:val="false"/>
                <w:bCs w:val="false"/>
                <w:i w:val="false"/>
                <w:iCs w:val="false"/>
                <w:sz w:val="21"/>
                <w:szCs w:val="21"/>
                <w:rtl/>
              </w:rPr>
              <w:t xml:space="preserve">פסיבי: צבעי אזהרה (אפוסמטיים) של צהוב וחום.</w:t>
            </w:r>
          </w:p>
          <w:p>
            <w:pPr>
              <w:bidi/>
              <w:spacing w:after="40" w:before="40" w:line="240"/>
              <w:jc w:val="right"/>
            </w:pPr>
            <w:r>
              <w:rPr>
                <w:rFonts w:ascii="Times New Roman" w:cs="David" w:eastAsia="David" w:hAnsi="Times New Roman"/>
                <w:b w:val="false"/>
                <w:bCs w:val="false"/>
                <w:i w:val="false"/>
                <w:iCs w:val="false"/>
                <w:sz w:val="21"/>
                <w:szCs w:val="21"/>
                <w:rtl/>
              </w:rPr>
              <w:t xml:space="preserve">לסתות חזקות לנשיכה.</w:t>
            </w:r>
          </w:p>
        </w:tc>
        <w:tc>
          <w:tcPr>
            <w:tcW w:type="dxa" w:w="3786"/>
            <w:tcMar>
              <w:top w:type="dxa" w:w="60"/>
              <w:left w:type="dxa" w:w="90"/>
              <w:bottom w:type="dxa" w:w="60"/>
              <w:right w:type="dxa" w:w="90"/>
            </w:tcMar>
          </w:tcPr>
          <w:p>
            <w:pPr>
              <w:bidi/>
              <w:spacing w:after="40" w:before="40" w:line="240"/>
              <w:jc w:val="right"/>
            </w:pPr>
            <w:r>
              <w:rPr>
                <w:rFonts w:ascii="Times New Roman" w:cs="David" w:eastAsia="David" w:hAnsi="Times New Roman"/>
                <w:b w:val="false"/>
                <w:bCs w:val="false"/>
                <w:i w:val="false"/>
                <w:iCs w:val="false"/>
                <w:sz w:val="21"/>
                <w:szCs w:val="21"/>
                <w:rtl/>
              </w:rPr>
              <w:t xml:space="preserve">אקטיבי: בריחה מהירה למחבוא, ונשיכה חלשה כמוצא אחרון.</w:t>
            </w:r>
          </w:p>
          <w:p>
            <w:pPr>
              <w:bidi/>
              <w:spacing w:after="40" w:before="40" w:line="240"/>
              <w:jc w:val="right"/>
            </w:pPr>
            <w:r>
              <w:rPr>
                <w:rFonts w:ascii="Times New Roman" w:cs="David" w:eastAsia="David" w:hAnsi="Times New Roman"/>
                <w:b w:val="false"/>
                <w:bCs w:val="false"/>
                <w:i w:val="false"/>
                <w:iCs w:val="false"/>
                <w:sz w:val="21"/>
                <w:szCs w:val="21"/>
                <w:rtl/>
              </w:rPr>
              <w:t xml:space="preserve">השלכת זנב (אוטוטומיה) במקום שבר מובנה; הזנב המתפתל מסיח את הטורף והפרט נמלט (Bateman &amp; Fleming, 2009).</w:t>
            </w:r>
          </w:p>
          <w:p>
            <w:pPr>
              <w:bidi/>
              <w:spacing w:after="40" w:before="40" w:line="240"/>
              <w:jc w:val="right"/>
            </w:pPr>
            <w:r>
              <w:rPr>
                <w:rFonts w:ascii="Times New Roman" w:cs="David" w:eastAsia="David" w:hAnsi="Times New Roman"/>
                <w:b w:val="false"/>
                <w:bCs w:val="false"/>
                <w:i w:val="false"/>
                <w:iCs w:val="false"/>
                <w:sz w:val="21"/>
                <w:szCs w:val="21"/>
                <w:rtl/>
              </w:rPr>
              <w:t xml:space="preserve">פסיבי: הסוואה בצבע העור ופעילות לילית.</w:t>
            </w:r>
          </w:p>
          <w:p>
            <w:pPr>
              <w:bidi/>
              <w:spacing w:after="40" w:before="40" w:line="240"/>
              <w:jc w:val="right"/>
            </w:pPr>
            <w:r>
              <w:rPr>
                <w:rFonts w:ascii="Times New Roman" w:cs="David" w:eastAsia="David" w:hAnsi="Times New Roman"/>
                <w:b w:val="false"/>
                <w:bCs w:val="false"/>
                <w:i w:val="false"/>
                <w:iCs w:val="false"/>
                <w:sz w:val="21"/>
                <w:szCs w:val="21"/>
                <w:rtl/>
              </w:rPr>
              <w:t xml:space="preserve">הזנב מתחדש, אך בנוי סחוס ואינו זהה למקורי.</w:t>
            </w:r>
          </w:p>
        </w:tc>
      </w:tr>
      <w:tr>
        <w:trPr>
          <w:cantSplit/>
          <w:tblHeader w:val="false"/>
        </w:trPr>
        <w:tc>
          <w:tcPr>
            <w:tcW w:type="dxa" w:w="1500"/>
            <w:shd w:fill="F2F2F2" w:color="auto" w:val="clear"/>
            <w:tcMar>
              <w:top w:type="dxa" w:w="60"/>
              <w:left w:type="dxa" w:w="90"/>
              <w:bottom w:type="dxa" w:w="60"/>
              <w:right w:type="dxa" w:w="90"/>
            </w:tcMar>
          </w:tcPr>
          <w:p>
            <w:pPr>
              <w:bidi/>
              <w:spacing w:after="40" w:before="40" w:line="240"/>
              <w:jc w:val="right"/>
            </w:pPr>
            <w:r>
              <w:rPr>
                <w:rFonts w:ascii="Times New Roman" w:cs="David" w:eastAsia="David" w:hAnsi="Times New Roman"/>
                <w:b/>
                <w:bCs/>
                <w:i w:val="false"/>
                <w:iCs w:val="false"/>
                <w:sz w:val="21"/>
                <w:szCs w:val="21"/>
                <w:rtl/>
              </w:rPr>
              <w:t xml:space="preserve">רבייה</w:t>
            </w:r>
          </w:p>
        </w:tc>
        <w:tc>
          <w:tcPr>
            <w:tcW w:type="dxa" w:w="3786"/>
            <w:tcMar>
              <w:top w:type="dxa" w:w="60"/>
              <w:left w:type="dxa" w:w="90"/>
              <w:bottom w:type="dxa" w:w="60"/>
              <w:right w:type="dxa" w:w="90"/>
            </w:tcMar>
          </w:tcPr>
          <w:p>
            <w:pPr>
              <w:bidi/>
              <w:spacing w:after="40" w:before="40" w:line="240"/>
              <w:jc w:val="right"/>
            </w:pPr>
            <w:r>
              <w:rPr>
                <w:rFonts w:ascii="Times New Roman" w:cs="David" w:eastAsia="David" w:hAnsi="Times New Roman"/>
                <w:b w:val="false"/>
                <w:bCs w:val="false"/>
                <w:i w:val="false"/>
                <w:iCs w:val="false"/>
                <w:sz w:val="21"/>
                <w:szCs w:val="21"/>
                <w:rtl/>
              </w:rPr>
              <w:t xml:space="preserve">רבייה זוויגית עם הפריה פנימית, ולצדה מנגנון הפלואידי-דיפלואידי: ביצים מופרות מתפתחות לנקבות ולא מופרות לזכרים.</w:t>
            </w:r>
          </w:p>
          <w:p>
            <w:pPr>
              <w:bidi/>
              <w:spacing w:after="40" w:before="40" w:line="240"/>
              <w:jc w:val="right"/>
            </w:pPr>
            <w:r>
              <w:rPr>
                <w:rFonts w:ascii="Times New Roman" w:cs="David" w:eastAsia="David" w:hAnsi="Times New Roman"/>
                <w:b w:val="false"/>
                <w:bCs w:val="false"/>
                <w:i w:val="false"/>
                <w:iCs w:val="false"/>
                <w:sz w:val="21"/>
                <w:szCs w:val="21"/>
                <w:rtl/>
              </w:rPr>
              <w:t xml:space="preserve">אוסוציאליות: חלוקת תפקידים רבייתית (מלכה אחת פורייה מול פועלות עקרות), דורות חופפים בקן, וטיפול משותף בצאצאים (ויינברגר, 2025).</w:t>
            </w:r>
          </w:p>
          <w:p>
            <w:pPr>
              <w:bidi/>
              <w:spacing w:after="40" w:before="40" w:line="240"/>
              <w:jc w:val="right"/>
            </w:pPr>
            <w:r>
              <w:rPr>
                <w:rFonts w:ascii="Times New Roman" w:cs="David" w:eastAsia="David" w:hAnsi="Times New Roman"/>
                <w:b w:val="false"/>
                <w:bCs w:val="false"/>
                <w:i w:val="false"/>
                <w:iCs w:val="false"/>
                <w:sz w:val="21"/>
                <w:szCs w:val="21"/>
                <w:rtl/>
              </w:rPr>
              <w:t xml:space="preserve">המלכה נושאת זרע שנקלט בהזדווגות אחת ומשתמשת בו לאורך כל העונה.</w:t>
            </w:r>
          </w:p>
          <w:p>
            <w:pPr>
              <w:bidi/>
              <w:spacing w:after="40" w:before="40" w:line="240"/>
              <w:jc w:val="right"/>
            </w:pPr>
            <w:r>
              <w:rPr>
                <w:rFonts w:ascii="Times New Roman" w:cs="David" w:eastAsia="David" w:hAnsi="Times New Roman"/>
                <w:b w:val="false"/>
                <w:bCs w:val="false"/>
                <w:i w:val="false"/>
                <w:iCs w:val="false"/>
                <w:sz w:val="21"/>
                <w:szCs w:val="21"/>
                <w:rtl/>
              </w:rPr>
              <w:t xml:space="preserve">טיפול בצאצאים משותף לכל הפועלות.</w:t>
            </w:r>
          </w:p>
        </w:tc>
        <w:tc>
          <w:tcPr>
            <w:tcW w:type="dxa" w:w="3786"/>
            <w:tcMar>
              <w:top w:type="dxa" w:w="60"/>
              <w:left w:type="dxa" w:w="90"/>
              <w:bottom w:type="dxa" w:w="60"/>
              <w:right w:type="dxa" w:w="90"/>
            </w:tcMar>
          </w:tcPr>
          <w:p>
            <w:pPr>
              <w:bidi/>
              <w:spacing w:after="40" w:before="40" w:line="240"/>
              <w:jc w:val="right"/>
            </w:pPr>
            <w:r>
              <w:rPr>
                <w:rFonts w:ascii="Times New Roman" w:cs="David" w:eastAsia="David" w:hAnsi="Times New Roman"/>
                <w:b w:val="false"/>
                <w:bCs w:val="false"/>
                <w:i w:val="false"/>
                <w:iCs w:val="false"/>
                <w:sz w:val="21"/>
                <w:szCs w:val="21"/>
                <w:rtl/>
              </w:rPr>
              <w:t xml:space="preserve">רבייה זוויגית עם הפריה פנימית; שני זוויגים נפרדים.</w:t>
            </w:r>
          </w:p>
          <w:p>
            <w:pPr>
              <w:bidi/>
              <w:spacing w:after="40" w:before="40" w:line="240"/>
              <w:jc w:val="right"/>
            </w:pPr>
            <w:r>
              <w:rPr>
                <w:rFonts w:ascii="Times New Roman" w:cs="David" w:eastAsia="David" w:hAnsi="Times New Roman"/>
                <w:b w:val="false"/>
                <w:bCs w:val="false"/>
                <w:i w:val="false"/>
                <w:iCs w:val="false"/>
                <w:sz w:val="21"/>
                <w:szCs w:val="21"/>
                <w:rtl/>
              </w:rPr>
              <w:t xml:space="preserve">לזכר שני איברי הזדווגות (hemipenes) והוא משתמש באחד מהם בכל הזדווגות.</w:t>
            </w:r>
          </w:p>
          <w:p>
            <w:pPr>
              <w:bidi/>
              <w:spacing w:after="40" w:before="40" w:line="240"/>
              <w:jc w:val="right"/>
            </w:pPr>
            <w:r>
              <w:rPr>
                <w:rFonts w:ascii="Times New Roman" w:cs="David" w:eastAsia="David" w:hAnsi="Times New Roman"/>
                <w:b w:val="false"/>
                <w:bCs w:val="false"/>
                <w:i w:val="false"/>
                <w:iCs w:val="false"/>
                <w:sz w:val="21"/>
                <w:szCs w:val="21"/>
                <w:rtl/>
              </w:rPr>
              <w:t xml:space="preserve">מטילת ביצים: שתי ביצים בקליפה קשה בכל הטלה, כמה הטלות בעונה (Selcer, 1986).</w:t>
            </w:r>
          </w:p>
          <w:p>
            <w:pPr>
              <w:bidi/>
              <w:spacing w:after="40" w:before="40" w:line="240"/>
              <w:jc w:val="right"/>
            </w:pPr>
            <w:r>
              <w:rPr>
                <w:rFonts w:ascii="Times New Roman" w:cs="David" w:eastAsia="David" w:hAnsi="Times New Roman"/>
                <w:b w:val="false"/>
                <w:bCs w:val="false"/>
                <w:i w:val="false"/>
                <w:iCs w:val="false"/>
                <w:sz w:val="21"/>
                <w:szCs w:val="21"/>
                <w:rtl/>
              </w:rPr>
              <w:t xml:space="preserve">אין טיפול הורי; הצאצא עצמאי מרגע הבקיעה.</w:t>
            </w:r>
          </w:p>
        </w:tc>
      </w:tr>
      <w:tr>
        <w:trPr>
          <w:cantSplit/>
          <w:tblHeader w:val="false"/>
        </w:trPr>
        <w:tc>
          <w:tcPr>
            <w:tcW w:type="dxa" w:w="1500"/>
            <w:shd w:fill="F2F2F2" w:color="auto" w:val="clear"/>
            <w:tcMar>
              <w:top w:type="dxa" w:w="60"/>
              <w:left w:type="dxa" w:w="90"/>
              <w:bottom w:type="dxa" w:w="60"/>
              <w:right w:type="dxa" w:w="90"/>
            </w:tcMar>
          </w:tcPr>
          <w:p>
            <w:pPr>
              <w:bidi/>
              <w:spacing w:after="40" w:before="40" w:line="240"/>
              <w:jc w:val="right"/>
            </w:pPr>
            <w:r>
              <w:rPr>
                <w:rFonts w:ascii="Times New Roman" w:cs="David" w:eastAsia="David" w:hAnsi="Times New Roman"/>
                <w:b/>
                <w:bCs/>
                <w:i w:val="false"/>
                <w:iCs w:val="false"/>
                <w:sz w:val="21"/>
                <w:szCs w:val="21"/>
                <w:rtl/>
              </w:rPr>
              <w:t xml:space="preserve">איברים מיוחדים</w:t>
            </w:r>
          </w:p>
        </w:tc>
        <w:tc>
          <w:tcPr>
            <w:tcW w:type="dxa" w:w="3786"/>
            <w:tcMar>
              <w:top w:type="dxa" w:w="60"/>
              <w:left w:type="dxa" w:w="90"/>
              <w:bottom w:type="dxa" w:w="60"/>
              <w:right w:type="dxa" w:w="90"/>
            </w:tcMar>
          </w:tcPr>
          <w:p>
            <w:pPr>
              <w:bidi/>
              <w:spacing w:after="40" w:before="40" w:line="240"/>
              <w:jc w:val="right"/>
            </w:pPr>
            <w:r>
              <w:rPr>
                <w:rFonts w:ascii="Times New Roman" w:cs="David" w:eastAsia="David" w:hAnsi="Times New Roman"/>
                <w:b w:val="false"/>
                <w:bCs w:val="false"/>
                <w:i w:val="false"/>
                <w:iCs w:val="false"/>
                <w:sz w:val="21"/>
                <w:szCs w:val="21"/>
                <w:rtl/>
              </w:rPr>
              <w:t xml:space="preserve">רצועה צהובה ובה קסנתופטרין ומבנה חריצים, שלגביה הוצע תפקיד בקציר אנרגיה מאור (Plotkin et al., 2010).</w:t>
            </w:r>
          </w:p>
          <w:p>
            <w:pPr>
              <w:bidi/>
              <w:spacing w:after="40" w:before="40" w:line="240"/>
              <w:jc w:val="right"/>
            </w:pPr>
            <w:r>
              <w:rPr>
                <w:rFonts w:ascii="Times New Roman" w:cs="David" w:eastAsia="David" w:hAnsi="Times New Roman"/>
                <w:b w:val="false"/>
                <w:bCs w:val="false"/>
                <w:i w:val="false"/>
                <w:iCs w:val="false"/>
                <w:sz w:val="21"/>
                <w:szCs w:val="21"/>
                <w:rtl/>
              </w:rPr>
              <w:t xml:space="preserve">בלוטת ארס וצינור הטלה שהפך לעוקץ.</w:t>
            </w:r>
          </w:p>
          <w:p>
            <w:pPr>
              <w:bidi/>
              <w:spacing w:after="40" w:before="40" w:line="240"/>
              <w:jc w:val="right"/>
            </w:pPr>
            <w:r>
              <w:rPr>
                <w:rFonts w:ascii="Times New Roman" w:cs="David" w:eastAsia="David" w:hAnsi="Times New Roman"/>
                <w:b w:val="false"/>
                <w:bCs w:val="false"/>
                <w:i w:val="false"/>
                <w:iCs w:val="false"/>
                <w:sz w:val="21"/>
                <w:szCs w:val="21"/>
                <w:rtl/>
              </w:rPr>
              <w:t xml:space="preserve">צינורות מלפיגי כאיבר הפרשה ייחודי לחרקים.</w:t>
            </w:r>
          </w:p>
        </w:tc>
        <w:tc>
          <w:tcPr>
            <w:tcW w:type="dxa" w:w="3786"/>
            <w:tcMar>
              <w:top w:type="dxa" w:w="60"/>
              <w:left w:type="dxa" w:w="90"/>
              <w:bottom w:type="dxa" w:w="60"/>
              <w:right w:type="dxa" w:w="90"/>
            </w:tcMar>
          </w:tcPr>
          <w:p>
            <w:pPr>
              <w:bidi/>
              <w:spacing w:after="40" w:before="40" w:line="240"/>
              <w:jc w:val="right"/>
            </w:pPr>
            <w:r>
              <w:rPr>
                <w:rFonts w:ascii="Times New Roman" w:cs="David" w:eastAsia="David" w:hAnsi="Times New Roman"/>
                <w:b w:val="false"/>
                <w:bCs w:val="false"/>
                <w:i w:val="false"/>
                <w:iCs w:val="false"/>
                <w:sz w:val="21"/>
                <w:szCs w:val="21"/>
                <w:rtl/>
              </w:rPr>
              <w:t xml:space="preserve">כריות היצמדות עם זיפים ננומטריים.</w:t>
            </w:r>
          </w:p>
          <w:p>
            <w:pPr>
              <w:bidi/>
              <w:spacing w:after="40" w:before="40" w:line="240"/>
              <w:jc w:val="right"/>
            </w:pPr>
            <w:r>
              <w:rPr>
                <w:rFonts w:ascii="Times New Roman" w:cs="David" w:eastAsia="David" w:hAnsi="Times New Roman"/>
                <w:b w:val="false"/>
                <w:bCs w:val="false"/>
                <w:i w:val="false"/>
                <w:iCs w:val="false"/>
                <w:sz w:val="21"/>
                <w:szCs w:val="21"/>
                <w:rtl/>
              </w:rPr>
              <w:t xml:space="preserve">קשקש שקוף במקום עפעף נייד, המנוקה בלשון.</w:t>
            </w:r>
          </w:p>
          <w:p>
            <w:pPr>
              <w:bidi/>
              <w:spacing w:after="40" w:before="40" w:line="240"/>
              <w:jc w:val="right"/>
            </w:pPr>
            <w:r>
              <w:rPr>
                <w:rFonts w:ascii="Times New Roman" w:cs="David" w:eastAsia="David" w:hAnsi="Times New Roman"/>
                <w:b w:val="false"/>
                <w:bCs w:val="false"/>
                <w:i w:val="false"/>
                <w:iCs w:val="false"/>
                <w:sz w:val="21"/>
                <w:szCs w:val="21"/>
                <w:rtl/>
              </w:rPr>
              <w:t xml:space="preserve">מישורי שבר מובנים בחוליות הזנב, המאפשרים את השלכתו.</w:t>
            </w:r>
          </w:p>
          <w:p>
            <w:pPr>
              <w:bidi/>
              <w:spacing w:after="40" w:before="40" w:line="240"/>
              <w:jc w:val="right"/>
            </w:pPr>
            <w:r>
              <w:rPr>
                <w:rFonts w:ascii="Times New Roman" w:cs="David" w:eastAsia="David" w:hAnsi="Times New Roman"/>
                <w:b w:val="false"/>
                <w:bCs w:val="false"/>
                <w:i w:val="false"/>
                <w:iCs w:val="false"/>
                <w:sz w:val="21"/>
                <w:szCs w:val="21"/>
                <w:rtl/>
              </w:rPr>
              <w:t xml:space="preserve">איבר יעקובסון לקליטת גירויים כימיים.</w:t>
            </w:r>
          </w:p>
        </w:tc>
      </w:tr>
      <w:tr>
        <w:trPr>
          <w:cantSplit/>
          <w:tblHeader w:val="false"/>
        </w:trPr>
        <w:tc>
          <w:tcPr>
            <w:tcW w:type="dxa" w:w="1500"/>
            <w:shd w:fill="F2F2F2" w:color="auto" w:val="clear"/>
            <w:tcMar>
              <w:top w:type="dxa" w:w="60"/>
              <w:left w:type="dxa" w:w="90"/>
              <w:bottom w:type="dxa" w:w="60"/>
              <w:right w:type="dxa" w:w="90"/>
            </w:tcMar>
          </w:tcPr>
          <w:p>
            <w:pPr>
              <w:bidi/>
              <w:spacing w:after="40" w:before="40" w:line="240"/>
              <w:jc w:val="right"/>
            </w:pPr>
            <w:r>
              <w:rPr>
                <w:rFonts w:ascii="Times New Roman" w:cs="David" w:eastAsia="David" w:hAnsi="Times New Roman"/>
                <w:b/>
                <w:bCs/>
                <w:i w:val="false"/>
                <w:iCs w:val="false"/>
                <w:sz w:val="21"/>
                <w:szCs w:val="21"/>
                <w:rtl/>
              </w:rPr>
              <w:t xml:space="preserve">הקשר לאדם</w:t>
            </w:r>
          </w:p>
        </w:tc>
        <w:tc>
          <w:tcPr>
            <w:tcW w:type="dxa" w:w="3786"/>
            <w:tcMar>
              <w:top w:type="dxa" w:w="60"/>
              <w:left w:type="dxa" w:w="90"/>
              <w:bottom w:type="dxa" w:w="60"/>
              <w:right w:type="dxa" w:w="90"/>
            </w:tcMar>
          </w:tcPr>
          <w:p>
            <w:pPr>
              <w:bidi/>
              <w:spacing w:after="40" w:before="40" w:line="240"/>
              <w:jc w:val="right"/>
            </w:pPr>
            <w:r>
              <w:rPr>
                <w:rFonts w:ascii="Times New Roman" w:cs="David" w:eastAsia="David" w:hAnsi="Times New Roman"/>
                <w:b w:val="false"/>
                <w:bCs w:val="false"/>
                <w:i w:val="false"/>
                <w:iCs w:val="false"/>
                <w:sz w:val="21"/>
                <w:szCs w:val="21"/>
                <w:rtl/>
              </w:rPr>
              <w:t xml:space="preserve">מזיק כלכלי לענף הדבורים; תוקפת כוורות וטורפת דבורים.</w:t>
            </w:r>
          </w:p>
          <w:p>
            <w:pPr>
              <w:bidi/>
              <w:spacing w:after="40" w:before="40" w:line="240"/>
              <w:jc w:val="right"/>
            </w:pPr>
            <w:r>
              <w:rPr>
                <w:rFonts w:ascii="Times New Roman" w:cs="David" w:eastAsia="David" w:hAnsi="Times New Roman"/>
                <w:b w:val="false"/>
                <w:bCs w:val="false"/>
                <w:i w:val="false"/>
                <w:iCs w:val="false"/>
                <w:sz w:val="21"/>
                <w:szCs w:val="21"/>
                <w:rtl/>
              </w:rPr>
              <w:t xml:space="preserve">עקיצה כואבת ומסוכנת לאנשים אלרגיים.</w:t>
            </w:r>
          </w:p>
          <w:p>
            <w:pPr>
              <w:bidi/>
              <w:spacing w:after="40" w:before="40" w:line="240"/>
              <w:jc w:val="right"/>
            </w:pPr>
            <w:r>
              <w:rPr>
                <w:rFonts w:ascii="Times New Roman" w:cs="David" w:eastAsia="David" w:hAnsi="Times New Roman"/>
                <w:b w:val="false"/>
                <w:bCs w:val="false"/>
                <w:i w:val="false"/>
                <w:iCs w:val="false"/>
                <w:sz w:val="21"/>
                <w:szCs w:val="21"/>
                <w:rtl/>
              </w:rPr>
              <w:t xml:space="preserve">מועילה בטריפת חרקים, בסילוק פגרים ובהאבקה.</w:t>
            </w:r>
          </w:p>
          <w:p>
            <w:pPr>
              <w:bidi/>
              <w:spacing w:after="40" w:before="40" w:line="240"/>
              <w:jc w:val="right"/>
            </w:pPr>
            <w:r>
              <w:rPr>
                <w:rFonts w:ascii="Times New Roman" w:cs="David" w:eastAsia="David" w:hAnsi="Times New Roman"/>
                <w:b w:val="false"/>
                <w:bCs w:val="false"/>
                <w:i w:val="false"/>
                <w:iCs w:val="false"/>
                <w:sz w:val="21"/>
                <w:szCs w:val="21"/>
                <w:rtl/>
              </w:rPr>
              <w:t xml:space="preserve">מפיצה שמרי יין אל הענבים בסתיו, תפקיד בעל חשיבות לתעשיית היין (ויינברגר, 2025).</w:t>
            </w:r>
          </w:p>
          <w:p>
            <w:pPr>
              <w:bidi/>
              <w:spacing w:after="40" w:before="40" w:line="240"/>
              <w:jc w:val="right"/>
            </w:pPr>
            <w:r>
              <w:rPr>
                <w:rFonts w:ascii="Times New Roman" w:cs="David" w:eastAsia="David" w:hAnsi="Times New Roman"/>
                <w:b w:val="false"/>
                <w:bCs w:val="false"/>
                <w:i w:val="false"/>
                <w:iCs w:val="false"/>
                <w:sz w:val="21"/>
                <w:szCs w:val="21"/>
                <w:rtl/>
              </w:rPr>
              <w:t xml:space="preserve">מין פולש מחוץ לתחום תפוצתה (Werenkraut et al., 2022).</w:t>
            </w:r>
          </w:p>
        </w:tc>
        <w:tc>
          <w:tcPr>
            <w:tcW w:type="dxa" w:w="3786"/>
            <w:tcMar>
              <w:top w:type="dxa" w:w="60"/>
              <w:left w:type="dxa" w:w="90"/>
              <w:bottom w:type="dxa" w:w="60"/>
              <w:right w:type="dxa" w:w="90"/>
            </w:tcMar>
          </w:tcPr>
          <w:p>
            <w:pPr>
              <w:bidi/>
              <w:spacing w:after="40" w:before="40" w:line="240"/>
              <w:jc w:val="right"/>
            </w:pPr>
            <w:r>
              <w:rPr>
                <w:rFonts w:ascii="Times New Roman" w:cs="David" w:eastAsia="David" w:hAnsi="Times New Roman"/>
                <w:b w:val="false"/>
                <w:bCs w:val="false"/>
                <w:i w:val="false"/>
                <w:iCs w:val="false"/>
                <w:sz w:val="21"/>
                <w:szCs w:val="21"/>
                <w:rtl/>
              </w:rPr>
              <w:t xml:space="preserve">קומנסלית: מפיקה תועלת ישירה ממבנים ומתאורה מלאכותית.</w:t>
            </w:r>
          </w:p>
          <w:p>
            <w:pPr>
              <w:bidi/>
              <w:spacing w:after="40" w:before="40" w:line="240"/>
              <w:jc w:val="right"/>
            </w:pPr>
            <w:r>
              <w:rPr>
                <w:rFonts w:ascii="Times New Roman" w:cs="David" w:eastAsia="David" w:hAnsi="Times New Roman"/>
                <w:b w:val="false"/>
                <w:bCs w:val="false"/>
                <w:i w:val="false"/>
                <w:iCs w:val="false"/>
                <w:sz w:val="21"/>
                <w:szCs w:val="21"/>
                <w:rtl/>
              </w:rPr>
              <w:t xml:space="preserve">מועילה בצמצום יתושים וחרקים ביתיים.</w:t>
            </w:r>
          </w:p>
          <w:p>
            <w:pPr>
              <w:bidi/>
              <w:spacing w:after="40" w:before="40" w:line="240"/>
              <w:jc w:val="right"/>
            </w:pPr>
            <w:r>
              <w:rPr>
                <w:rFonts w:ascii="Times New Roman" w:cs="David" w:eastAsia="David" w:hAnsi="Times New Roman"/>
                <w:b w:val="false"/>
                <w:bCs w:val="false"/>
                <w:i w:val="false"/>
                <w:iCs w:val="false"/>
                <w:sz w:val="21"/>
                <w:szCs w:val="21"/>
                <w:rtl/>
              </w:rPr>
              <w:t xml:space="preserve">אינה מזיקה ואינה ארסית.</w:t>
            </w:r>
          </w:p>
          <w:p>
            <w:pPr>
              <w:bidi/>
              <w:spacing w:after="40" w:before="40" w:line="240"/>
              <w:jc w:val="right"/>
            </w:pPr>
            <w:r>
              <w:rPr>
                <w:rFonts w:ascii="Times New Roman" w:cs="David" w:eastAsia="David" w:hAnsi="Times New Roman"/>
                <w:b w:val="false"/>
                <w:bCs w:val="false"/>
                <w:i w:val="false"/>
                <w:iCs w:val="false"/>
                <w:sz w:val="21"/>
                <w:szCs w:val="21"/>
                <w:rtl/>
              </w:rPr>
              <w:t xml:space="preserve">הופצה בעולם בהסעה אקראית באמצעות האדם (Selcer, 1986).</w:t>
            </w:r>
          </w:p>
        </w:tc>
      </w:tr>
    </w:tbl>
    <w:p>
      <w:pPr>
        <w:pageBreakBefore/>
        <w:bidi/>
        <w:spacing w:after="240" w:before="0" w:line="360"/>
        <w:jc w:val="right"/>
      </w:pPr>
      <w:r>
        <w:rPr>
          <w:rFonts w:ascii="Times New Roman" w:cs="David" w:eastAsia="David" w:hAnsi="Times New Roman"/>
          <w:b/>
          <w:bCs/>
          <w:i w:val="false"/>
          <w:iCs w:val="false"/>
          <w:sz w:val="28"/>
          <w:szCs w:val="28"/>
          <w:rtl/>
        </w:rPr>
        <w:t xml:space="preserve">סיכום ומסקנות</w:t>
      </w:r>
    </w:p>
    <w:p>
      <w:pPr>
        <w:bidi/>
        <w:spacing w:after="120" w:before="0" w:line="360"/>
        <w:jc w:val="both"/>
      </w:pPr>
      <w:r>
        <w:rPr>
          <w:rFonts w:ascii="Times New Roman" w:cs="David" w:eastAsia="David" w:hAnsi="Times New Roman"/>
          <w:b w:val="false"/>
          <w:bCs w:val="false"/>
          <w:i w:val="false"/>
          <w:iCs w:val="false"/>
          <w:sz w:val="24"/>
          <w:szCs w:val="24"/>
          <w:rtl/>
        </w:rPr>
        <w:t xml:space="preserve">ההשוואה בין הצרעה המזרחית לשממית המצויה מציבה זו מול זו שתי ארכיטקטורות שונות בתכלית. אצל הצרעה השלד החיצוני מספק הגנה טובה ומונע איבוד מים, אך הוא כלוב: הגדילה אפשרית רק בהתנשלות, והמשקל שהוא מוסיף עולה מהר יותר מן הנפח שהוא עוטף. לצדו פועלות מערכת דם פתוחה שאינה מובילה חמצן ומערכת קנימים המספקת חמצן בדיפוזיה, ושתיהן יעילות רק במרחקים קצרים. יחד, שלוש המגבלות האלה מסבירות מדוע 35 מ"מ הם כמעט התקרה של המין הזה.</w:t>
      </w:r>
    </w:p>
    <w:p>
      <w:pPr>
        <w:bidi/>
        <w:spacing w:after="120" w:before="0" w:line="360"/>
        <w:jc w:val="both"/>
      </w:pPr>
      <w:r>
        <w:rPr>
          <w:rFonts w:ascii="Times New Roman" w:cs="David" w:eastAsia="David" w:hAnsi="Times New Roman"/>
          <w:b w:val="false"/>
          <w:bCs w:val="false"/>
          <w:i w:val="false"/>
          <w:iCs w:val="false"/>
          <w:sz w:val="24"/>
          <w:szCs w:val="24"/>
          <w:rtl/>
        </w:rPr>
        <w:t xml:space="preserve">השממית פתרה את אותן דרישות אחרת. השלד הפנימי גדל יחד עם בעל החיים ואינו מחייב החלפה, מערכת הדם הסגורה מובילה חמצן בהמוגלובין ומאפשרת בקרה על לחץ ועל קצב האספקה, והריאות מאווררות באופן אקטיבי. הפתרון הזה יקר יותר מבחינה אנרגטית, אך הוא מסיר את התקרה על גודל הגוף ומאפשר פעילות ממושכת. עם זאת, שתיהן בעלות חום גוף משתנה ותלויות בטמפרטורת הסביבה.</w:t>
      </w:r>
    </w:p>
    <w:p>
      <w:pPr>
        <w:bidi/>
        <w:spacing w:after="120" w:before="0" w:line="360"/>
        <w:jc w:val="both"/>
      </w:pPr>
      <w:r>
        <w:rPr>
          <w:rFonts w:ascii="Times New Roman" w:cs="David" w:eastAsia="David" w:hAnsi="Times New Roman"/>
          <w:b w:val="false"/>
          <w:bCs w:val="false"/>
          <w:i w:val="false"/>
          <w:iCs w:val="false"/>
          <w:sz w:val="24"/>
          <w:szCs w:val="24"/>
          <w:rtl/>
        </w:rPr>
        <w:t xml:space="preserve">ההבדל השני שעלה בבירור נוגע למקום שבו נמצאת המורכבות. אצל הצרעה המוח קטן ופשוט, ורוב היכולת המרשימה נמצאת ברמת המושבה: חלוקת תפקידים, בנייה משותפת, גיוס מהיר להגנה והזנה הדדית בין דורות. אצל השממית המורכבות נמצאת כולה בפרט: מוח מפותח, למידה של מפת המחייה, תקשורת קולית וזיהוי מחסות. שתי הדרכים מובילות להתנהגות מתוחכמת, אבל היחידה שנושאת אותה שונה לגמרי. הדוגמה החדה ביותר היא ויסות חום: השממית מווסתת את חומה בבחירת מקום על הקיר, ואילו מושבת הצרעות מווסתת את חום הקן כולו ומחזיקה אותו בטווח של מעלות בודדות (ויינברגר, 2025). זו יכולת של קבוצה, לא של פרט.</w:t>
      </w:r>
    </w:p>
    <w:p>
      <w:pPr>
        <w:bidi/>
        <w:spacing w:after="120" w:before="0" w:line="360"/>
        <w:jc w:val="both"/>
      </w:pPr>
      <w:r>
        <w:rPr>
          <w:rFonts w:ascii="Times New Roman" w:cs="David" w:eastAsia="David" w:hAnsi="Times New Roman"/>
          <w:b w:val="false"/>
          <w:bCs w:val="false"/>
          <w:i w:val="false"/>
          <w:iCs w:val="false"/>
          <w:sz w:val="24"/>
          <w:szCs w:val="24"/>
          <w:rtl/>
        </w:rPr>
        <w:t xml:space="preserve">נקודה שלישית שעולה מן ההשוואה היא מידת התלות באדם. שני המינים הם מקומיים, אך שניהם הרוויחו מהסביבה הבנויה, ובשניהם הרווח הזה הוביל להתפשטות רחוקה מתחום התפוצה המקורי בעזרת תחבורה אנושית (Selcer, 1986; Werenkraut et al., 2022). התוצאה שונה: השממית נחשבת ברוב האזורים לחסרת נזק ואף מועילה, ואילו הצרעה המזרחית הוגדרה מין פולש בעל פוטנציאל נזק לענף הדבורים ולמערכות מקומיות. התנועה פועלת גם פנימה: שממית החומות המצרית, שהגיעה לישראל בהסעה אקראית ודחקה שממיות מקומיות עד להיעלמותן מאתר שלם, היא הצד השני של אותו מטבע (רשות הטבע והגנים, 2024).</w:t>
      </w:r>
    </w:p>
    <w:p>
      <w:pPr>
        <w:bidi/>
        <w:spacing w:after="120" w:before="0" w:line="360"/>
        <w:jc w:val="both"/>
      </w:pPr>
      <w:r>
        <w:rPr>
          <w:rFonts w:ascii="Times New Roman" w:cs="David" w:eastAsia="David" w:hAnsi="Times New Roman"/>
          <w:b w:val="false"/>
          <w:bCs w:val="false"/>
          <w:i w:val="false"/>
          <w:iCs w:val="false"/>
          <w:sz w:val="24"/>
          <w:szCs w:val="24"/>
          <w:rtl/>
        </w:rPr>
        <w:t xml:space="preserve">מן ההשוואה עולות כמה מסקנות מעשיות. ראשית, קן צרעים בחצר אינו מטרד שיש לטפל בו לבד: ריסוס עצמאי מגרה את פרומון האזעקה ומגדיל את הסיכון לעקיצות המוניות, ולכן יש לפנות למדביר מוסמך או לרשות המקומית, ורצוי בשעות החושך שבהן הפועלות בקן. שנית, פחי אשפה סגורים והרחקת פירות נשירה מן החצר מפחיתים את מספר הצרעות סביב הבית יותר מכל אמצעי אחר, משום שהם מסלקים את מקור הפחמימות. שלישית, שממית על קיר הבית אינה מצריכה טיפול, ומי שמעוניין למעט ביתושים יפיק תועלת מהשארתה במקומה, ואילו החלפת תאורת חוץ לבנה בתאורה חמה מצמצמת את כמות החרקים הנמשכים לבית ומשנה בעקיפין את פעילות שני המינים. רביעית, שממית גדולה במיוחד הנושאת ארבעה כתמים לבנים על הגב אינה השממית המצויה אלא המין הפולש, ומי שמזהה אותה בערבה או בדרום מתבקש לצלם, לדווח לרשות הטבע והגנים ולא לגעת בה (רשות הטבע והגנים, 2024).</w:t>
      </w:r>
    </w:p>
    <w:p>
      <w:pPr>
        <w:pageBreakBefore/>
        <w:bidi/>
        <w:spacing w:after="240" w:before="0" w:line="360"/>
        <w:jc w:val="right"/>
      </w:pPr>
      <w:r>
        <w:rPr>
          <w:rFonts w:ascii="Times New Roman" w:cs="David" w:eastAsia="David" w:hAnsi="Times New Roman"/>
          <w:b/>
          <w:bCs/>
          <w:i w:val="false"/>
          <w:iCs w:val="false"/>
          <w:sz w:val="28"/>
          <w:szCs w:val="28"/>
          <w:rtl/>
        </w:rPr>
        <w:t xml:space="preserve">רפלקציה אישית</w:t>
      </w:r>
    </w:p>
    <w:p>
      <w:pPr>
        <w:bidi/>
        <w:spacing w:after="120" w:before="0" w:line="360"/>
        <w:jc w:val="both"/>
      </w:pPr>
      <w:r>
        <w:rPr>
          <w:rFonts w:ascii="Times New Roman" w:cs="David" w:eastAsia="David" w:hAnsi="Times New Roman"/>
          <w:b w:val="false"/>
          <w:bCs w:val="false"/>
          <w:i w:val="false"/>
          <w:iCs w:val="false"/>
          <w:sz w:val="24"/>
          <w:szCs w:val="24"/>
          <w:rtl/>
        </w:rPr>
        <w:t xml:space="preserve">התחלתי את העבודה מתוך הנחה שאני מכירה את שני בעלי החיים האלה היטב. הם נמצאים בחצר שלי כל קיץ, ראיתי אותם אלפי פעמים, והייתי בטוחה שאין הרבה מה ללמוד עליהם. הנחה זו התבררה כשגויה כבר בשלב איסוף החומר.</w:t>
      </w:r>
    </w:p>
    <w:p>
      <w:pPr>
        <w:bidi/>
        <w:spacing w:after="120" w:before="0" w:line="360"/>
        <w:jc w:val="both"/>
      </w:pPr>
      <w:r>
        <w:rPr>
          <w:rFonts w:ascii="Times New Roman" w:cs="David" w:eastAsia="David" w:hAnsi="Times New Roman"/>
          <w:b w:val="false"/>
          <w:bCs w:val="false"/>
          <w:i w:val="false"/>
          <w:iCs w:val="false"/>
          <w:sz w:val="24"/>
          <w:szCs w:val="24"/>
          <w:rtl/>
        </w:rPr>
        <w:t xml:space="preserve">הדבר שהפתיע אותי יותר מכול היה הקשר בין הזחלים לפועלות אצל הצרעה. עד לעבודה הזו חשבתי שהזחלים הם נטל שהמושבה מטפלת בו עד שיגדל, ולמדתי שהם למעשה חלק ממערכת ההזנה של הבוגרות עצמן. זה שינה לי לגמרי את הדרך שבה אני מסתכלת על מושבה: לא אוסף של פרטים שאחד מהם שולט באחרים, אלא יחידה שהחלקים בה תלויים זה בזה בשני הכיוונים.</w:t>
      </w:r>
    </w:p>
    <w:p>
      <w:pPr>
        <w:bidi/>
        <w:spacing w:after="120" w:before="0" w:line="360"/>
        <w:jc w:val="both"/>
      </w:pPr>
      <w:r>
        <w:rPr>
          <w:rFonts w:ascii="Times New Roman" w:cs="David" w:eastAsia="David" w:hAnsi="Times New Roman"/>
          <w:b w:val="false"/>
          <w:bCs w:val="false"/>
          <w:i w:val="false"/>
          <w:iCs w:val="false"/>
          <w:sz w:val="24"/>
          <w:szCs w:val="24"/>
          <w:rtl/>
        </w:rPr>
        <w:t xml:space="preserve">החלק הקשה יותר היה דווקא הטבלה. בהתחלה ניסיתי למלא אותה נושא אחרי נושא, וגיליתי שאני חוזרת על עצמי ומעתיקה משפטים ארוכים מן המקורות בלי להבין אותם באמת. רק אחרי שהתחלתי לשאול על כל שורה למה זה כך ולא אחרת, למשל למה החרק לא יכול להיות גדול יותר, הטבלה הפכה לכלי חשיבה ולא לתרגיל בהעתקה. הפער הזה בין לדעת עובדה לבין להבין למה היא נכונה הוא מה שהכי ניכר בעיניי בהבדל בין הטיוטה הראשונה לנוסח הסופי.</w:t>
      </w:r>
    </w:p>
    <w:p>
      <w:pPr>
        <w:bidi/>
        <w:spacing w:after="120" w:before="0" w:line="360"/>
        <w:jc w:val="both"/>
      </w:pPr>
      <w:r>
        <w:rPr>
          <w:rFonts w:ascii="Times New Roman" w:cs="David" w:eastAsia="David" w:hAnsi="Times New Roman"/>
          <w:b w:val="false"/>
          <w:bCs w:val="false"/>
          <w:i w:val="false"/>
          <w:iCs w:val="false"/>
          <w:sz w:val="24"/>
          <w:szCs w:val="24"/>
          <w:rtl/>
        </w:rPr>
        <w:t xml:space="preserve">היה גם קושי שלא ציפיתי לו במציאת מידע אמין. על השממית המצויה יש ספרות מסודרת וזמינה, ואילו על הצרעה המזרחית מצאתי הרבה מאוד תוכן ברשת שסותר את עצמו, בעיקר בכל הנוגע להסבר על הרצועה הצהובה. בסופו של דבר בחרתי להציג את הממצא ולציין שההסבר שנוי במחלוקת, במקום לכתוב אותו כעובדה. זו הייתה הבחירה הנכונה, אבל לקח לי זמן להגיע אליה, ולפני כן כתבתי פסקה בטוחה מדי שהייתי צריכה למחוק.</w:t>
      </w:r>
    </w:p>
    <w:p>
      <w:pPr>
        <w:bidi/>
        <w:spacing w:after="120" w:before="0" w:line="360"/>
        <w:jc w:val="both"/>
      </w:pPr>
      <w:r>
        <w:rPr>
          <w:rFonts w:ascii="Times New Roman" w:cs="David" w:eastAsia="David" w:hAnsi="Times New Roman"/>
          <w:b w:val="false"/>
          <w:bCs w:val="false"/>
          <w:i w:val="false"/>
          <w:iCs w:val="false"/>
          <w:sz w:val="24"/>
          <w:szCs w:val="24"/>
          <w:rtl/>
        </w:rPr>
        <w:t xml:space="preserve">אם הייתי משנה משהו במטלה, הייתי מוסיפה דרישה לתצפית חוזרת לאורך כמה ימים ולא לצילום יחיד. הצילום מספק תמונת רגע, ואילו שעה של ישיבה מול הקיר בערב מלמדת על השממית דברים שאף מקור לא כתב, למשל שהיא חוזרת בכל לילה בדיוק לאותו מקום ליד המנורה. מה שהייתי משמרת הוא דווקא הדרישה לבחור בעל חיים מסביבת הבית. היא זו שהפכה את העבודה ממטלה בכתיבה לתצפית של ממש, וזה מה שגרם לי לצאת לחצר בלילה עם פנס ולחכות.</w:t>
      </w:r>
    </w:p>
    <w:p>
      <w:pPr>
        <w:pageBreakBefore/>
        <w:bidi/>
        <w:spacing w:after="240" w:before="0" w:line="360"/>
        <w:jc w:val="right"/>
      </w:pPr>
      <w:r>
        <w:rPr>
          <w:rFonts w:ascii="Times New Roman" w:cs="David" w:eastAsia="David" w:hAnsi="Times New Roman"/>
          <w:b/>
          <w:bCs/>
          <w:i w:val="false"/>
          <w:iCs w:val="false"/>
          <w:sz w:val="28"/>
          <w:szCs w:val="28"/>
          <w:rtl/>
        </w:rPr>
        <w:t xml:space="preserve">רשימת מקורות</w:t>
      </w:r>
    </w:p>
    <w:p>
      <w:pPr>
        <w:bidi/>
        <w:spacing w:after="0" w:line="480"/>
        <w:ind w:right="709" w:hanging="709"/>
        <w:jc w:val="right"/>
      </w:pPr>
      <w:r>
        <w:rPr>
          <w:rFonts w:ascii="Times New Roman" w:cs="David" w:eastAsia="David" w:hAnsi="Times New Roman"/>
          <w:b w:val="false"/>
          <w:bCs w:val="false"/>
          <w:i w:val="false"/>
          <w:iCs w:val="false"/>
          <w:sz w:val="24"/>
          <w:szCs w:val="24"/>
          <w:rtl/>
        </w:rPr>
        <w:t xml:space="preserve">בר, א', וחיימוביץ', ג' (2011). </w:t>
      </w:r>
      <w:r>
        <w:rPr>
          <w:rFonts w:ascii="Times New Roman" w:cs="David" w:eastAsia="David" w:hAnsi="Times New Roman"/>
          <w:b w:val="false"/>
          <w:bCs w:val="false"/>
          <w:i/>
          <w:iCs/>
          <w:sz w:val="24"/>
          <w:szCs w:val="24"/>
          <w:rtl/>
        </w:rPr>
        <w:t xml:space="preserve">מדריך הזוחלים והדו-חיים של ישראל</w:t>
      </w:r>
      <w:r>
        <w:rPr>
          <w:rFonts w:ascii="Times New Roman" w:cs="David" w:eastAsia="David" w:hAnsi="Times New Roman"/>
          <w:b w:val="false"/>
          <w:bCs w:val="false"/>
          <w:i w:val="false"/>
          <w:iCs w:val="false"/>
          <w:sz w:val="24"/>
          <w:szCs w:val="24"/>
          <w:rtl/>
        </w:rPr>
        <w:t xml:space="preserve">. פזבר.</w:t>
      </w:r>
    </w:p>
    <w:p>
      <w:pPr>
        <w:bidi/>
        <w:spacing w:after="0" w:line="480"/>
        <w:ind w:right="709" w:hanging="709"/>
        <w:jc w:val="right"/>
      </w:pPr>
      <w:r>
        <w:rPr>
          <w:rFonts w:ascii="Times New Roman" w:cs="David" w:eastAsia="David" w:hAnsi="Times New Roman"/>
          <w:b w:val="false"/>
          <w:bCs w:val="false"/>
          <w:i w:val="false"/>
          <w:iCs w:val="false"/>
          <w:sz w:val="24"/>
          <w:szCs w:val="24"/>
          <w:rtl/>
        </w:rPr>
        <w:t xml:space="preserve">ויינברגר, ע' (2025, 22 בדצמבר). חיות את הרגע: צרעה מזרחית. </w:t>
      </w:r>
      <w:r>
        <w:rPr>
          <w:rFonts w:ascii="Times New Roman" w:cs="David" w:eastAsia="David" w:hAnsi="Times New Roman"/>
          <w:b w:val="false"/>
          <w:bCs w:val="false"/>
          <w:i/>
          <w:iCs/>
          <w:sz w:val="24"/>
          <w:szCs w:val="24"/>
          <w:rtl/>
        </w:rPr>
        <w:t xml:space="preserve">זווית: סוכנות ידיעות למדע ולסביבה</w:t>
      </w:r>
      <w:r>
        <w:rPr>
          <w:rFonts w:ascii="Times New Roman" w:cs="David" w:eastAsia="David" w:hAnsi="Times New Roman"/>
          <w:b w:val="false"/>
          <w:bCs w:val="false"/>
          <w:i w:val="false"/>
          <w:iCs w:val="false"/>
          <w:sz w:val="24"/>
          <w:szCs w:val="24"/>
          <w:rtl/>
        </w:rPr>
        <w:t xml:space="preserve">. https://www.zavit.org.il/חיות-את-הרגע-צרעה-מזרחית</w:t>
      </w:r>
    </w:p>
    <w:p>
      <w:pPr>
        <w:bidi/>
        <w:spacing w:after="0" w:line="480"/>
        <w:ind w:right="709" w:hanging="709"/>
        <w:jc w:val="right"/>
      </w:pPr>
      <w:r>
        <w:rPr>
          <w:rFonts w:ascii="Times New Roman" w:cs="David" w:eastAsia="David" w:hAnsi="Times New Roman"/>
          <w:b w:val="false"/>
          <w:bCs w:val="false"/>
          <w:i w:val="false"/>
          <w:iCs w:val="false"/>
          <w:sz w:val="24"/>
          <w:szCs w:val="24"/>
          <w:rtl/>
        </w:rPr>
        <w:t xml:space="preserve">לוטן, א' (ל.ת.). </w:t>
      </w:r>
      <w:r>
        <w:rPr>
          <w:rFonts w:ascii="Times New Roman" w:cs="David" w:eastAsia="David" w:hAnsi="Times New Roman"/>
          <w:b w:val="false"/>
          <w:bCs w:val="false"/>
          <w:i/>
          <w:iCs/>
          <w:sz w:val="24"/>
          <w:szCs w:val="24"/>
          <w:rtl/>
        </w:rPr>
        <w:t xml:space="preserve">ממלכת בעלי החיים: רקע כללי</w:t>
      </w:r>
      <w:r>
        <w:rPr>
          <w:rFonts w:ascii="Times New Roman" w:cs="David" w:eastAsia="David" w:hAnsi="Times New Roman"/>
          <w:b w:val="false"/>
          <w:bCs w:val="false"/>
          <w:i w:val="false"/>
          <w:iCs w:val="false"/>
          <w:sz w:val="24"/>
          <w:szCs w:val="24"/>
          <w:rtl/>
        </w:rPr>
        <w:t xml:space="preserve"> [מצגת הרצאה]. [שם הקורס], [שם המוסד האקדמי].</w:t>
      </w:r>
    </w:p>
    <w:p>
      <w:pPr>
        <w:bidi/>
        <w:spacing w:after="0" w:line="480"/>
        <w:ind w:right="709" w:hanging="709"/>
        <w:jc w:val="right"/>
      </w:pPr>
      <w:r>
        <w:rPr>
          <w:rFonts w:ascii="Times New Roman" w:cs="David" w:eastAsia="David" w:hAnsi="Times New Roman"/>
          <w:b w:val="false"/>
          <w:bCs w:val="false"/>
          <w:i w:val="false"/>
          <w:iCs w:val="false"/>
          <w:sz w:val="24"/>
          <w:szCs w:val="24"/>
          <w:rtl/>
        </w:rPr>
        <w:t xml:space="preserve">רשות הטבע והגנים. (2024, 21 ביולי). </w:t>
      </w:r>
      <w:r>
        <w:rPr>
          <w:rFonts w:ascii="Times New Roman" w:cs="David" w:eastAsia="David" w:hAnsi="Times New Roman"/>
          <w:b w:val="false"/>
          <w:bCs w:val="false"/>
          <w:i/>
          <w:iCs/>
          <w:sz w:val="24"/>
          <w:szCs w:val="24"/>
          <w:rtl/>
        </w:rPr>
        <w:t xml:space="preserve">השממית המצרית שמאיימת על ישראל</w:t>
      </w:r>
      <w:r>
        <w:rPr>
          <w:rFonts w:ascii="Times New Roman" w:cs="David" w:eastAsia="David" w:hAnsi="Times New Roman"/>
          <w:b w:val="false"/>
          <w:bCs w:val="false"/>
          <w:i w:val="false"/>
          <w:iCs w:val="false"/>
          <w:sz w:val="24"/>
          <w:szCs w:val="24"/>
          <w:rtl/>
        </w:rPr>
        <w:t xml:space="preserve">. https://www.parks.org.il/new/smamit</w:t>
      </w:r>
    </w:p>
    <w:p>
      <w:pPr>
        <w:bidi w:val="false"/>
        <w:spacing w:after="0" w:line="480"/>
        <w:ind w:left="709" w:hanging="709"/>
        <w:jc w:val="left"/>
      </w:pPr>
      <w:r>
        <w:rPr>
          <w:rFonts w:ascii="Times New Roman" w:cs="David" w:eastAsia="David" w:hAnsi="Times New Roman"/>
          <w:b w:val="false"/>
          <w:bCs w:val="false"/>
          <w:i w:val="false"/>
          <w:iCs w:val="false"/>
          <w:sz w:val="24"/>
          <w:szCs w:val="24"/>
          <w:rtl w:val="false"/>
        </w:rPr>
        <w:t xml:space="preserve">Autumn, K., Liang, Y. A., Hsieh, S. T., Zesch, W., Chan, W. P., Kenny, T. W., Fearing, R., &amp; Full, R. J. (2000). Adhesive force of a single gecko foot-hair. </w:t>
      </w:r>
      <w:r>
        <w:rPr>
          <w:rFonts w:ascii="Times New Roman" w:cs="David" w:eastAsia="David" w:hAnsi="Times New Roman"/>
          <w:b w:val="false"/>
          <w:bCs w:val="false"/>
          <w:i/>
          <w:iCs/>
          <w:sz w:val="24"/>
          <w:szCs w:val="24"/>
          <w:rtl w:val="false"/>
        </w:rPr>
        <w:t xml:space="preserve">Nature, 405</w:t>
      </w:r>
      <w:r>
        <w:rPr>
          <w:rFonts w:ascii="Times New Roman" w:cs="David" w:eastAsia="David" w:hAnsi="Times New Roman"/>
          <w:b w:val="false"/>
          <w:bCs w:val="false"/>
          <w:i w:val="false"/>
          <w:iCs w:val="false"/>
          <w:sz w:val="24"/>
          <w:szCs w:val="24"/>
          <w:rtl w:val="false"/>
        </w:rPr>
        <w:t xml:space="preserve">(6787), 681-685. https://doi.org/10.1038/35015073</w:t>
      </w:r>
    </w:p>
    <w:p>
      <w:pPr>
        <w:bidi w:val="false"/>
        <w:spacing w:after="0" w:line="480"/>
        <w:ind w:left="709" w:hanging="709"/>
        <w:jc w:val="left"/>
      </w:pPr>
      <w:r>
        <w:rPr>
          <w:rFonts w:ascii="Times New Roman" w:cs="David" w:eastAsia="David" w:hAnsi="Times New Roman"/>
          <w:b w:val="false"/>
          <w:bCs w:val="false"/>
          <w:i w:val="false"/>
          <w:iCs w:val="false"/>
          <w:sz w:val="24"/>
          <w:szCs w:val="24"/>
          <w:rtl w:val="false"/>
        </w:rPr>
        <w:t xml:space="preserve">Bateman, P. W., &amp; Fleming, P. A. (2009). To cut a long tail short: A review of lizard caudal autotomy studies carried out over the last 20 years. </w:t>
      </w:r>
      <w:r>
        <w:rPr>
          <w:rFonts w:ascii="Times New Roman" w:cs="David" w:eastAsia="David" w:hAnsi="Times New Roman"/>
          <w:b w:val="false"/>
          <w:bCs w:val="false"/>
          <w:i/>
          <w:iCs/>
          <w:sz w:val="24"/>
          <w:szCs w:val="24"/>
          <w:rtl w:val="false"/>
        </w:rPr>
        <w:t xml:space="preserve">Journal of Zoology, 277</w:t>
      </w:r>
      <w:r>
        <w:rPr>
          <w:rFonts w:ascii="Times New Roman" w:cs="David" w:eastAsia="David" w:hAnsi="Times New Roman"/>
          <w:b w:val="false"/>
          <w:bCs w:val="false"/>
          <w:i w:val="false"/>
          <w:iCs w:val="false"/>
          <w:sz w:val="24"/>
          <w:szCs w:val="24"/>
          <w:rtl w:val="false"/>
        </w:rPr>
        <w:t xml:space="preserve">(1), 1-14. https://doi.org/10.1111/j.1469-7998.2008.00484.x</w:t>
      </w:r>
    </w:p>
    <w:p>
      <w:pPr>
        <w:bidi w:val="false"/>
        <w:spacing w:after="0" w:line="480"/>
        <w:ind w:left="709" w:hanging="709"/>
        <w:jc w:val="left"/>
      </w:pPr>
      <w:r>
        <w:rPr>
          <w:rFonts w:ascii="Times New Roman" w:cs="David" w:eastAsia="David" w:hAnsi="Times New Roman"/>
          <w:b w:val="false"/>
          <w:bCs w:val="false"/>
          <w:i w:val="false"/>
          <w:iCs w:val="false"/>
          <w:sz w:val="24"/>
          <w:szCs w:val="24"/>
          <w:rtl w:val="false"/>
        </w:rPr>
        <w:t xml:space="preserve">Bauer, A. M. (2013). </w:t>
      </w:r>
      <w:r>
        <w:rPr>
          <w:rFonts w:ascii="Times New Roman" w:cs="David" w:eastAsia="David" w:hAnsi="Times New Roman"/>
          <w:b w:val="false"/>
          <w:bCs w:val="false"/>
          <w:i/>
          <w:iCs/>
          <w:sz w:val="24"/>
          <w:szCs w:val="24"/>
          <w:rtl w:val="false"/>
        </w:rPr>
        <w:t xml:space="preserve">Geckos: The animal answer guide</w:t>
      </w:r>
      <w:r>
        <w:rPr>
          <w:rFonts w:ascii="Times New Roman" w:cs="David" w:eastAsia="David" w:hAnsi="Times New Roman"/>
          <w:b w:val="false"/>
          <w:bCs w:val="false"/>
          <w:i w:val="false"/>
          <w:iCs w:val="false"/>
          <w:sz w:val="24"/>
          <w:szCs w:val="24"/>
          <w:rtl w:val="false"/>
        </w:rPr>
        <w:t xml:space="preserve">. Johns Hopkins University Press.</w:t>
      </w:r>
    </w:p>
    <w:p>
      <w:pPr>
        <w:bidi w:val="false"/>
        <w:spacing w:after="0" w:line="480"/>
        <w:ind w:left="709" w:hanging="709"/>
        <w:jc w:val="left"/>
      </w:pPr>
      <w:r>
        <w:rPr>
          <w:rFonts w:ascii="Times New Roman" w:cs="David" w:eastAsia="David" w:hAnsi="Times New Roman"/>
          <w:b w:val="false"/>
          <w:bCs w:val="false"/>
          <w:i w:val="false"/>
          <w:iCs w:val="false"/>
          <w:sz w:val="24"/>
          <w:szCs w:val="24"/>
          <w:rtl w:val="false"/>
        </w:rPr>
        <w:t xml:space="preserve">Charlesjsharp. (n.d.). </w:t>
      </w:r>
      <w:r>
        <w:rPr>
          <w:rFonts w:ascii="Times New Roman" w:cs="David" w:eastAsia="David" w:hAnsi="Times New Roman"/>
          <w:b w:val="false"/>
          <w:bCs w:val="false"/>
          <w:i/>
          <w:iCs/>
          <w:sz w:val="24"/>
          <w:szCs w:val="24"/>
          <w:rtl w:val="false"/>
        </w:rPr>
        <w:t xml:space="preserve">Oriental hornet (Vespa orientalis)</w:t>
      </w:r>
      <w:r>
        <w:rPr>
          <w:rFonts w:ascii="Times New Roman" w:cs="David" w:eastAsia="David" w:hAnsi="Times New Roman"/>
          <w:b w:val="false"/>
          <w:bCs w:val="false"/>
          <w:i w:val="false"/>
          <w:iCs w:val="false"/>
          <w:sz w:val="24"/>
          <w:szCs w:val="24"/>
          <w:rtl w:val="false"/>
        </w:rPr>
        <w:t xml:space="preserve"> [Photograph]. Wikimedia Commons. https://commons.wikimedia.org/wiki/File:Oriental_hornet_(Vespa_orientalis).jpg</w:t>
      </w:r>
    </w:p>
    <w:p>
      <w:pPr>
        <w:bidi w:val="false"/>
        <w:spacing w:after="0" w:line="480"/>
        <w:ind w:left="709" w:hanging="709"/>
        <w:jc w:val="left"/>
      </w:pPr>
      <w:r>
        <w:rPr>
          <w:rFonts w:ascii="Times New Roman" w:cs="David" w:eastAsia="David" w:hAnsi="Times New Roman"/>
          <w:b w:val="false"/>
          <w:bCs w:val="false"/>
          <w:i w:val="false"/>
          <w:iCs w:val="false"/>
          <w:sz w:val="24"/>
          <w:szCs w:val="24"/>
          <w:rtl w:val="false"/>
        </w:rPr>
        <w:t xml:space="preserve">Ishay, J., &amp; Ikan, R. (1968). Gluconeogenesis in the oriental hornet Vespa orientalis F. </w:t>
      </w:r>
      <w:r>
        <w:rPr>
          <w:rFonts w:ascii="Times New Roman" w:cs="David" w:eastAsia="David" w:hAnsi="Times New Roman"/>
          <w:b w:val="false"/>
          <w:bCs w:val="false"/>
          <w:i/>
          <w:iCs/>
          <w:sz w:val="24"/>
          <w:szCs w:val="24"/>
          <w:rtl w:val="false"/>
        </w:rPr>
        <w:t xml:space="preserve">Ecology, 49</w:t>
      </w:r>
      <w:r>
        <w:rPr>
          <w:rFonts w:ascii="Times New Roman" w:cs="David" w:eastAsia="David" w:hAnsi="Times New Roman"/>
          <w:b w:val="false"/>
          <w:bCs w:val="false"/>
          <w:i w:val="false"/>
          <w:iCs w:val="false"/>
          <w:sz w:val="24"/>
          <w:szCs w:val="24"/>
          <w:rtl w:val="false"/>
        </w:rPr>
        <w:t xml:space="preserve">(1), 169-171. https://doi.org/10.2307/1933576</w:t>
      </w:r>
    </w:p>
    <w:p>
      <w:pPr>
        <w:bidi w:val="false"/>
        <w:spacing w:after="0" w:line="480"/>
        <w:ind w:left="709" w:hanging="709"/>
        <w:jc w:val="left"/>
      </w:pPr>
      <w:r>
        <w:rPr>
          <w:rFonts w:ascii="Times New Roman" w:cs="David" w:eastAsia="David" w:hAnsi="Times New Roman"/>
          <w:b w:val="false"/>
          <w:bCs w:val="false"/>
          <w:i w:val="false"/>
          <w:iCs w:val="false"/>
          <w:sz w:val="24"/>
          <w:szCs w:val="24"/>
          <w:rtl w:val="false"/>
        </w:rPr>
        <w:t xml:space="preserve">Plotkin, M., Hod, I., Zaban, A., Boden, S. A., Bagnall, D. M., Galushko, D., &amp; Bergman, D. J. (2010). Solar energy harvesting in the epicuticle of the oriental hornet (Vespa orientalis). </w:t>
      </w:r>
      <w:r>
        <w:rPr>
          <w:rFonts w:ascii="Times New Roman" w:cs="David" w:eastAsia="David" w:hAnsi="Times New Roman"/>
          <w:b w:val="false"/>
          <w:bCs w:val="false"/>
          <w:i/>
          <w:iCs/>
          <w:sz w:val="24"/>
          <w:szCs w:val="24"/>
          <w:rtl w:val="false"/>
        </w:rPr>
        <w:t xml:space="preserve">Naturwissenschaften, 97</w:t>
      </w:r>
      <w:r>
        <w:rPr>
          <w:rFonts w:ascii="Times New Roman" w:cs="David" w:eastAsia="David" w:hAnsi="Times New Roman"/>
          <w:b w:val="false"/>
          <w:bCs w:val="false"/>
          <w:i w:val="false"/>
          <w:iCs w:val="false"/>
          <w:sz w:val="24"/>
          <w:szCs w:val="24"/>
          <w:rtl w:val="false"/>
        </w:rPr>
        <w:t xml:space="preserve">(12), 1067-1076. https://doi.org/10.1007/s00114-010-0728-1</w:t>
      </w:r>
    </w:p>
    <w:p>
      <w:pPr>
        <w:bidi w:val="false"/>
        <w:spacing w:after="0" w:line="480"/>
        <w:ind w:left="709" w:hanging="709"/>
        <w:jc w:val="left"/>
      </w:pPr>
      <w:r>
        <w:rPr>
          <w:rFonts w:ascii="Times New Roman" w:cs="David" w:eastAsia="David" w:hAnsi="Times New Roman"/>
          <w:b w:val="false"/>
          <w:bCs w:val="false"/>
          <w:i w:val="false"/>
          <w:iCs w:val="false"/>
          <w:sz w:val="24"/>
          <w:szCs w:val="24"/>
          <w:rtl w:val="false"/>
        </w:rPr>
        <w:t xml:space="preserve">Roth, L. S. V., &amp; Kelber, A. (2004). Nocturnal colour vision in geckos. </w:t>
      </w:r>
      <w:r>
        <w:rPr>
          <w:rFonts w:ascii="Times New Roman" w:cs="David" w:eastAsia="David" w:hAnsi="Times New Roman"/>
          <w:b w:val="false"/>
          <w:bCs w:val="false"/>
          <w:i/>
          <w:iCs/>
          <w:sz w:val="24"/>
          <w:szCs w:val="24"/>
          <w:rtl w:val="false"/>
        </w:rPr>
        <w:t xml:space="preserve">Proceedings of the Royal Society B: Biological Sciences, 271</w:t>
      </w:r>
      <w:r>
        <w:rPr>
          <w:rFonts w:ascii="Times New Roman" w:cs="David" w:eastAsia="David" w:hAnsi="Times New Roman"/>
          <w:b w:val="false"/>
          <w:bCs w:val="false"/>
          <w:i w:val="false"/>
          <w:iCs w:val="false"/>
          <w:sz w:val="24"/>
          <w:szCs w:val="24"/>
          <w:rtl w:val="false"/>
        </w:rPr>
        <w:t xml:space="preserve">(Suppl. 6), S485-S487. https://doi.org/10.1098/rsbl.2004.0227</w:t>
      </w:r>
    </w:p>
    <w:p>
      <w:pPr>
        <w:bidi w:val="false"/>
        <w:spacing w:after="0" w:line="480"/>
        <w:ind w:left="709" w:hanging="709"/>
        <w:jc w:val="left"/>
      </w:pPr>
      <w:r>
        <w:rPr>
          <w:rFonts w:ascii="Times New Roman" w:cs="David" w:eastAsia="David" w:hAnsi="Times New Roman"/>
          <w:b w:val="false"/>
          <w:bCs w:val="false"/>
          <w:i w:val="false"/>
          <w:iCs w:val="false"/>
          <w:sz w:val="24"/>
          <w:szCs w:val="24"/>
          <w:rtl w:val="false"/>
        </w:rPr>
        <w:t xml:space="preserve">Selcer, K. W. (1986). Life history of a successful colonizer: The Mediterranean gecko, Hemidactylus turcicus, in southern Texas. </w:t>
      </w:r>
      <w:r>
        <w:rPr>
          <w:rFonts w:ascii="Times New Roman" w:cs="David" w:eastAsia="David" w:hAnsi="Times New Roman"/>
          <w:b w:val="false"/>
          <w:bCs w:val="false"/>
          <w:i/>
          <w:iCs/>
          <w:sz w:val="24"/>
          <w:szCs w:val="24"/>
          <w:rtl w:val="false"/>
        </w:rPr>
        <w:t xml:space="preserve">Copeia, 1986</w:t>
      </w:r>
      <w:r>
        <w:rPr>
          <w:rFonts w:ascii="Times New Roman" w:cs="David" w:eastAsia="David" w:hAnsi="Times New Roman"/>
          <w:b w:val="false"/>
          <w:bCs w:val="false"/>
          <w:i w:val="false"/>
          <w:iCs w:val="false"/>
          <w:sz w:val="24"/>
          <w:szCs w:val="24"/>
          <w:rtl w:val="false"/>
        </w:rPr>
        <w:t xml:space="preserve">(4), 956-962. https://doi.org/10.2307/1445291</w:t>
      </w:r>
    </w:p>
    <w:p>
      <w:pPr>
        <w:bidi w:val="false"/>
        <w:spacing w:after="0" w:line="480"/>
        <w:ind w:left="709" w:hanging="709"/>
        <w:jc w:val="left"/>
      </w:pPr>
      <w:r>
        <w:rPr>
          <w:rFonts w:ascii="Times New Roman" w:cs="David" w:eastAsia="David" w:hAnsi="Times New Roman"/>
          <w:b w:val="false"/>
          <w:bCs w:val="false"/>
          <w:i w:val="false"/>
          <w:iCs w:val="false"/>
          <w:sz w:val="24"/>
          <w:szCs w:val="24"/>
          <w:rtl w:val="false"/>
        </w:rPr>
        <w:t xml:space="preserve">Spradbery, J. P. (1973). </w:t>
      </w:r>
      <w:r>
        <w:rPr>
          <w:rFonts w:ascii="Times New Roman" w:cs="David" w:eastAsia="David" w:hAnsi="Times New Roman"/>
          <w:b w:val="false"/>
          <w:bCs w:val="false"/>
          <w:i/>
          <w:iCs/>
          <w:sz w:val="24"/>
          <w:szCs w:val="24"/>
          <w:rtl w:val="false"/>
        </w:rPr>
        <w:t xml:space="preserve">Wasps: An account of the biology and natural history of solitary and social wasps</w:t>
      </w:r>
      <w:r>
        <w:rPr>
          <w:rFonts w:ascii="Times New Roman" w:cs="David" w:eastAsia="David" w:hAnsi="Times New Roman"/>
          <w:b w:val="false"/>
          <w:bCs w:val="false"/>
          <w:i w:val="false"/>
          <w:iCs w:val="false"/>
          <w:sz w:val="24"/>
          <w:szCs w:val="24"/>
          <w:rtl w:val="false"/>
        </w:rPr>
        <w:t xml:space="preserve">. Sidgwick &amp; Jackson.</w:t>
      </w:r>
    </w:p>
    <w:p>
      <w:pPr>
        <w:bidi w:val="false"/>
        <w:spacing w:after="0" w:line="480"/>
        <w:ind w:left="709" w:hanging="709"/>
        <w:jc w:val="left"/>
      </w:pPr>
      <w:r>
        <w:rPr>
          <w:rFonts w:ascii="Times New Roman" w:cs="David" w:eastAsia="David" w:hAnsi="Times New Roman"/>
          <w:b w:val="false"/>
          <w:bCs w:val="false"/>
          <w:i w:val="false"/>
          <w:iCs w:val="false"/>
          <w:sz w:val="24"/>
          <w:szCs w:val="24"/>
          <w:rtl w:val="false"/>
        </w:rPr>
        <w:t xml:space="preserve">Werenkraut, V., Arbetman, M. P., &amp; Fergnani, P. N. (2022). The oriental hornet (Vespa orientalis L.): A threat to the Americas? </w:t>
      </w:r>
      <w:r>
        <w:rPr>
          <w:rFonts w:ascii="Times New Roman" w:cs="David" w:eastAsia="David" w:hAnsi="Times New Roman"/>
          <w:b w:val="false"/>
          <w:bCs w:val="false"/>
          <w:i/>
          <w:iCs/>
          <w:sz w:val="24"/>
          <w:szCs w:val="24"/>
          <w:rtl w:val="false"/>
        </w:rPr>
        <w:t xml:space="preserve">Neotropical Entomology, 51</w:t>
      </w:r>
      <w:r>
        <w:rPr>
          <w:rFonts w:ascii="Times New Roman" w:cs="David" w:eastAsia="David" w:hAnsi="Times New Roman"/>
          <w:b w:val="false"/>
          <w:bCs w:val="false"/>
          <w:i w:val="false"/>
          <w:iCs w:val="false"/>
          <w:sz w:val="24"/>
          <w:szCs w:val="24"/>
          <w:rtl w:val="false"/>
        </w:rPr>
        <w:t xml:space="preserve">(2), 330-338. https://doi.org/10.1007/s13744-021-00929-4</w:t>
      </w:r>
    </w:p>
    <w:p>
      <w:pPr>
        <w:bidi w:val="false"/>
        <w:spacing w:after="0" w:line="480"/>
        <w:ind w:left="709" w:hanging="709"/>
        <w:jc w:val="left"/>
      </w:pPr>
      <w:r>
        <w:rPr>
          <w:rFonts w:ascii="Times New Roman" w:cs="David" w:eastAsia="David" w:hAnsi="Times New Roman"/>
          <w:b w:val="false"/>
          <w:bCs w:val="false"/>
          <w:i w:val="false"/>
          <w:iCs w:val="false"/>
          <w:sz w:val="24"/>
          <w:szCs w:val="24"/>
          <w:rtl w:val="false"/>
        </w:rPr>
        <w:t xml:space="preserve">Werner, Y. L. (2016). </w:t>
      </w:r>
      <w:r>
        <w:rPr>
          <w:rFonts w:ascii="Times New Roman" w:cs="David" w:eastAsia="David" w:hAnsi="Times New Roman"/>
          <w:b w:val="false"/>
          <w:bCs w:val="false"/>
          <w:i/>
          <w:iCs/>
          <w:sz w:val="24"/>
          <w:szCs w:val="24"/>
          <w:rtl w:val="false"/>
        </w:rPr>
        <w:t xml:space="preserve">Reptile life in the land of Israel, with comments on adjacent regions</w:t>
      </w:r>
      <w:r>
        <w:rPr>
          <w:rFonts w:ascii="Times New Roman" w:cs="David" w:eastAsia="David" w:hAnsi="Times New Roman"/>
          <w:b w:val="false"/>
          <w:bCs w:val="false"/>
          <w:i w:val="false"/>
          <w:iCs w:val="false"/>
          <w:sz w:val="24"/>
          <w:szCs w:val="24"/>
          <w:rtl w:val="false"/>
        </w:rPr>
        <w:t xml:space="preserve">. Edition Chimaira.</w:t>
      </w:r>
    </w:p>
    <w:p>
      <w:pPr>
        <w:bidi w:val="false"/>
        <w:spacing w:after="0" w:line="480"/>
        <w:ind w:left="709" w:hanging="709"/>
        <w:jc w:val="left"/>
      </w:pPr>
      <w:r>
        <w:rPr>
          <w:rFonts w:ascii="Times New Roman" w:cs="David" w:eastAsia="David" w:hAnsi="Times New Roman"/>
          <w:b w:val="false"/>
          <w:bCs w:val="false"/>
          <w:i w:val="false"/>
          <w:iCs w:val="false"/>
          <w:sz w:val="24"/>
          <w:szCs w:val="24"/>
          <w:rtl w:val="false"/>
        </w:rPr>
        <w:t xml:space="preserve">Zakariadze, M. (n.d.). </w:t>
      </w:r>
      <w:r>
        <w:rPr>
          <w:rFonts w:ascii="Times New Roman" w:cs="David" w:eastAsia="David" w:hAnsi="Times New Roman"/>
          <w:b w:val="false"/>
          <w:bCs w:val="false"/>
          <w:i/>
          <w:iCs/>
          <w:sz w:val="24"/>
          <w:szCs w:val="24"/>
          <w:rtl w:val="false"/>
        </w:rPr>
        <w:t xml:space="preserve">Hemidactylus turcicus (Mediterranean house gecko)</w:t>
      </w:r>
      <w:r>
        <w:rPr>
          <w:rFonts w:ascii="Times New Roman" w:cs="David" w:eastAsia="David" w:hAnsi="Times New Roman"/>
          <w:b w:val="false"/>
          <w:bCs w:val="false"/>
          <w:i w:val="false"/>
          <w:iCs w:val="false"/>
          <w:sz w:val="24"/>
          <w:szCs w:val="24"/>
          <w:rtl w:val="false"/>
        </w:rPr>
        <w:t xml:space="preserve"> [Photograph]. Wikimedia Commons. https://commons.wikimedia.org/wiki/File:Hemidactylus_turcicus_(Mediterranean_house_gecko).jpg</w:t>
      </w:r>
    </w:p>
    <w:p>
      <w:pPr>
        <w:pageBreakBefore/>
        <w:bidi/>
        <w:spacing w:after="200" w:line="360"/>
        <w:jc w:val="right"/>
      </w:pPr>
      <w:r>
        <w:rPr>
          <w:rFonts w:ascii="Times New Roman" w:cs="David" w:eastAsia="David" w:hAnsi="Times New Roman"/>
          <w:b/>
          <w:bCs/>
          <w:i w:val="false"/>
          <w:iCs w:val="false"/>
          <w:color w:val="C00000"/>
          <w:sz w:val="28"/>
          <w:szCs w:val="28"/>
          <w:rtl/>
        </w:rPr>
        <w:t xml:space="preserve">הערות למגיש/ה (יש למחוק עמוד זה לפני ההגשה)</w:t>
      </w:r>
    </w:p>
    <w:p>
      <w:pPr>
        <w:bidi/>
        <w:spacing w:after="100" w:line="300"/>
        <w:jc w:val="right"/>
      </w:pPr>
      <w:r>
        <w:rPr>
          <w:rFonts w:ascii="Times New Roman" w:cs="David" w:eastAsia="David" w:hAnsi="Times New Roman"/>
          <w:b w:val="false"/>
          <w:bCs w:val="false"/>
          <w:i w:val="false"/>
          <w:iCs w:val="false"/>
          <w:color w:val="C00000"/>
          <w:sz w:val="22"/>
          <w:szCs w:val="22"/>
          <w:rtl/>
        </w:rPr>
        <w:t xml:space="preserve">1. להשלים בשער: שם המוסד, שם התוכנית, מספר הקורס, שם מלא ותעודת זהות.</w:t>
      </w:r>
    </w:p>
    <w:p>
      <w:pPr>
        <w:bidi/>
        <w:spacing w:after="100" w:line="300"/>
        <w:jc w:val="right"/>
      </w:pPr>
      <w:r>
        <w:rPr>
          <w:rFonts w:ascii="Times New Roman" w:cs="David" w:eastAsia="David" w:hAnsi="Times New Roman"/>
          <w:b w:val="false"/>
          <w:bCs w:val="false"/>
          <w:i w:val="false"/>
          <w:iCs w:val="false"/>
          <w:color w:val="C00000"/>
          <w:sz w:val="22"/>
          <w:szCs w:val="22"/>
          <w:rtl/>
        </w:rPr>
        <w:t xml:space="preserve">2. להכניס שתי תמונות במקומות המסומנים במסגרת אדומה, ולמחוק את המסגרות. הקישורים לשתי התמונות מופיעים בשורת המקור שמתחת לכל מסגרת. שתיהן ברישיון CC BY-SA 4.0 המתיר שימוש בתנאי ייחוס, והייחוס כבר כתוב במקומו.</w:t>
      </w:r>
    </w:p>
    <w:p>
      <w:pPr>
        <w:bidi/>
        <w:spacing w:after="100" w:line="300"/>
        <w:jc w:val="right"/>
      </w:pPr>
      <w:r>
        <w:rPr>
          <w:rFonts w:ascii="Times New Roman" w:cs="David" w:eastAsia="David" w:hAnsi="Times New Roman"/>
          <w:b w:val="false"/>
          <w:bCs w:val="false"/>
          <w:i w:val="false"/>
          <w:iCs w:val="false"/>
          <w:color w:val="C00000"/>
          <w:sz w:val="22"/>
          <w:szCs w:val="22"/>
          <w:rtl/>
        </w:rPr>
        <w:t xml:space="preserve">2א. תמונה מהרשת מותרת במפורש לפי סעיף 2c במטלה: "אם אין באפשרותכם לצלם את בעל החיים השני, הוסיפו תמונה/ות שבחרתם מהרשת (ציינו את המקור לתמונה)". דרישת ציון המקור מולאה במלואה תחת כל תמונה וברשימת המקורות.</w:t>
      </w:r>
    </w:p>
    <w:p>
      <w:pPr>
        <w:bidi/>
        <w:spacing w:after="100" w:line="300"/>
        <w:jc w:val="right"/>
      </w:pPr>
      <w:r>
        <w:rPr>
          <w:rFonts w:ascii="Times New Roman" w:cs="David" w:eastAsia="David" w:hAnsi="Times New Roman"/>
          <w:b w:val="false"/>
          <w:bCs w:val="false"/>
          <w:i w:val="false"/>
          <w:iCs w:val="false"/>
          <w:color w:val="C00000"/>
          <w:sz w:val="22"/>
          <w:szCs w:val="22"/>
          <w:rtl/>
        </w:rPr>
        <w:t xml:space="preserve">2ב. עם זאת, ההיתר מנוסח לגבי בעל החיים השני, ואילו לגבי בעל החיים שנמצא בסביבת הבית מבקשת ההנחיה צילום עצמי. לכן, אם תוכלו לצלם ולו אחד מהשניים, עדיף. ההחלפה פשוטה: מוחקים את שורת המקור, כותבים במקומה "צילום עצמי, [תאריך], [מקום]", ומסירים את הפריט המתאים מרשימת המקורות.</w:t>
      </w:r>
    </w:p>
    <w:p>
      <w:pPr>
        <w:bidi/>
        <w:spacing w:after="100" w:line="300"/>
        <w:jc w:val="right"/>
      </w:pPr>
      <w:r>
        <w:rPr>
          <w:rFonts w:ascii="Times New Roman" w:cs="David" w:eastAsia="David" w:hAnsi="Times New Roman"/>
          <w:b w:val="false"/>
          <w:bCs w:val="false"/>
          <w:i w:val="false"/>
          <w:iCs w:val="false"/>
          <w:color w:val="C00000"/>
          <w:sz w:val="22"/>
          <w:szCs w:val="22"/>
          <w:rtl/>
        </w:rPr>
        <w:t xml:space="preserve">2ג. בשתי התמונות רשום (ל.ת.) משום שלא אומת תאריך הצילום. בעמוד הקובץ בוויקישיתוף מופיע תאריך תחת Date; אם הוא ברור, יש להחליף בו את (ל.ת.) גם בשורת המקור וגם ברשימת המקורות.</w:t>
      </w:r>
    </w:p>
    <w:p>
      <w:pPr>
        <w:bidi/>
        <w:spacing w:after="100" w:line="300"/>
        <w:jc w:val="right"/>
      </w:pPr>
      <w:r>
        <w:rPr>
          <w:rFonts w:ascii="Times New Roman" w:cs="David" w:eastAsia="David" w:hAnsi="Times New Roman"/>
          <w:b w:val="false"/>
          <w:bCs w:val="false"/>
          <w:i w:val="false"/>
          <w:iCs w:val="false"/>
          <w:color w:val="C00000"/>
          <w:sz w:val="22"/>
          <w:szCs w:val="22"/>
          <w:rtl/>
        </w:rPr>
        <w:t xml:space="preserve">3. להשלים במבוא את המקום והתאריך שבהם נצפו שני בעלי החיים.</w:t>
      </w:r>
    </w:p>
    <w:p>
      <w:pPr>
        <w:bidi/>
        <w:spacing w:after="100" w:line="300"/>
        <w:jc w:val="right"/>
      </w:pPr>
      <w:r>
        <w:rPr>
          <w:rFonts w:ascii="Times New Roman" w:cs="David" w:eastAsia="David" w:hAnsi="Times New Roman"/>
          <w:b w:val="false"/>
          <w:bCs w:val="false"/>
          <w:i w:val="false"/>
          <w:iCs w:val="false"/>
          <w:color w:val="C00000"/>
          <w:sz w:val="22"/>
          <w:szCs w:val="22"/>
          <w:rtl/>
        </w:rPr>
        <w:t xml:space="preserve">4. פרק הרפלקציה כתוב בגוף ראשון בלשון נקבה. יש להתאים ללשון המתאימה ולהחליף את הפרטים האישיים בחוויה שלכם. זהו הפרק היחיד שאסור שיישאר גנרי.</w:t>
      </w:r>
    </w:p>
    <w:p>
      <w:pPr>
        <w:bidi/>
        <w:spacing w:after="100" w:line="300"/>
        <w:jc w:val="right"/>
      </w:pPr>
      <w:r>
        <w:rPr>
          <w:rFonts w:ascii="Times New Roman" w:cs="David" w:eastAsia="David" w:hAnsi="Times New Roman"/>
          <w:b w:val="false"/>
          <w:bCs w:val="false"/>
          <w:i w:val="false"/>
          <w:iCs w:val="false"/>
          <w:color w:val="C00000"/>
          <w:sz w:val="22"/>
          <w:szCs w:val="22"/>
          <w:rtl/>
        </w:rPr>
        <w:t xml:space="preserve">5. במצגת הקורס אין תאריך ושם מוסד. יש להשלים ברשימת המקורות את שם הקורס ואת שם המוסד, ואם על המצגת מופיעה שנה, להחליף את (ל.ת.) בשנה.</w:t>
      </w:r>
    </w:p>
    <w:p>
      <w:pPr>
        <w:bidi/>
        <w:spacing w:after="100" w:line="300"/>
        <w:jc w:val="right"/>
      </w:pPr>
      <w:r>
        <w:rPr>
          <w:rFonts w:ascii="Times New Roman" w:cs="David" w:eastAsia="David" w:hAnsi="Times New Roman"/>
          <w:b w:val="false"/>
          <w:bCs w:val="false"/>
          <w:i w:val="false"/>
          <w:iCs w:val="false"/>
          <w:color w:val="C00000"/>
          <w:sz w:val="22"/>
          <w:szCs w:val="22"/>
          <w:rtl/>
        </w:rPr>
        <w:t xml:space="preserve">6. המטלה מפנה לאנציקלופדיה של החי והצומח של א"י דרך אתר הספרייה. מומלץ להוסיף משם ערך אחד או שניים על שממיות ועל צרעיים, ולרשום ברשימה את הכרך ואת מספרי העמודים המדויקים.</w:t>
      </w:r>
    </w:p>
    <w:p>
      <w:pPr>
        <w:bidi/>
        <w:spacing w:after="100" w:line="300"/>
        <w:jc w:val="right"/>
      </w:pPr>
      <w:r>
        <w:rPr>
          <w:rFonts w:ascii="Times New Roman" w:cs="David" w:eastAsia="David" w:hAnsi="Times New Roman"/>
          <w:b w:val="false"/>
          <w:bCs w:val="false"/>
          <w:i w:val="false"/>
          <w:iCs w:val="false"/>
          <w:color w:val="C00000"/>
          <w:sz w:val="22"/>
          <w:szCs w:val="22"/>
          <w:rtl/>
        </w:rPr>
        <w:t xml:space="preserve">7. מספרי העמודים בתוכן העניינים מתייחסים למסמך במצבו הנוכחי. אחרי הכנסת התמונות ומחיקת עמוד זה יש לעדכן אותם.</w:t>
      </w:r>
    </w:p>
    <w:p>
      <w:pPr>
        <w:bidi/>
        <w:spacing w:after="100" w:line="300"/>
        <w:jc w:val="right"/>
      </w:pPr>
      <w:r>
        <w:rPr>
          <w:rFonts w:ascii="Times New Roman" w:cs="David" w:eastAsia="David" w:hAnsi="Times New Roman"/>
          <w:b w:val="false"/>
          <w:bCs w:val="false"/>
          <w:i w:val="false"/>
          <w:iCs w:val="false"/>
          <w:color w:val="C00000"/>
          <w:sz w:val="22"/>
          <w:szCs w:val="22"/>
          <w:rtl/>
        </w:rPr>
        <w:t xml:space="preserve">8. ההסבר על קציר אנרגיה ברצועה הצהובה של הצרעה (Plotkin et al., 2010) שנוי במחלוקת מדעית. הוא מוצג בעבודה כהצעה ולא כעובדה, וכך יש להשאירו.</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David" w:eastAsia="David" w:hAnsi="Times New Roman"/>
        <w:sz w:val="24"/>
        <w:szCs w:val="24"/>
      </w:rPr>
    </w:rPrDefault>
    <w:pPrDefault>
      <w:pPr>
        <w:spacing w:line="360"/>
        <w:jc w:val="righ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2026-08-05T11:19:21.066Z</dcterms:created>
  <dcterms:modified xsi:type="dcterms:W3CDTF">2026-08-05T11:19:21.067Z</dcterms:modified>
</cp:coreProperties>
</file>

<file path=docProps/custom.xml><?xml version="1.0" encoding="utf-8"?>
<Properties xmlns="http://schemas.openxmlformats.org/officeDocument/2006/custom-properties" xmlns:vt="http://schemas.openxmlformats.org/officeDocument/2006/docPropsVTypes"/>
</file>