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sz w:val="28"/>
          <w:szCs w:val="28"/>
          <w:rtl/>
        </w:rPr>
        <w:t xml:space="preserve">[שם המוסד האקדמי]</w:t>
      </w:r>
    </w:p>
    <w:p>
      <w:pPr>
        <w:bidi/>
        <w:spacing w:after="1800" w:line="360"/>
        <w:jc w:val="center"/>
      </w:pPr>
      <w:r>
        <w:rPr>
          <w:rFonts w:ascii="Times New Roman" w:cs="David" w:eastAsia="David" w:hAnsi="Times New Roman"/>
          <w:b w:val="false"/>
          <w:bCs w:val="false"/>
          <w:i w:val="false"/>
          <w:iCs w:val="false"/>
          <w:sz w:val="26"/>
          <w:szCs w:val="26"/>
          <w:rtl/>
        </w:rPr>
        <w:t xml:space="preserve">[שם החוג / התוכנית]</w:t>
      </w:r>
    </w:p>
    <w:p>
      <w:pPr>
        <w:bidi/>
        <w:spacing w:after="1200" w:line="360"/>
        <w:jc w:val="center"/>
      </w:pPr>
      <w:r>
        <w:rPr>
          <w:rFonts w:ascii="Times New Roman" w:cs="David" w:eastAsia="David" w:hAnsi="Times New Roman"/>
          <w:b/>
          <w:bCs/>
          <w:i w:val="false"/>
          <w:iCs w:val="false"/>
          <w:sz w:val="30"/>
          <w:szCs w:val="30"/>
          <w:rtl/>
        </w:rPr>
        <w:t xml:space="preserve">עבודה סמינריונית</w:t>
      </w:r>
    </w:p>
    <w:p>
      <w:pPr>
        <w:bidi/>
        <w:spacing w:after="240" w:line="360"/>
        <w:jc w:val="center"/>
      </w:pPr>
      <w:r>
        <w:rPr>
          <w:rFonts w:ascii="Times New Roman" w:cs="David" w:eastAsia="David" w:hAnsi="Times New Roman"/>
          <w:b/>
          <w:bCs/>
          <w:i w:val="false"/>
          <w:iCs w:val="false"/>
          <w:sz w:val="36"/>
          <w:szCs w:val="36"/>
          <w:rtl/>
        </w:rPr>
        <w:t xml:space="preserve">"וַחֲמוֹר אֵבוּס בְּעָלָיו לֹא יָדַע"</w:t>
      </w:r>
    </w:p>
    <w:p>
      <w:pPr>
        <w:bidi/>
        <w:spacing w:after="2000" w:line="360"/>
        <w:jc w:val="center"/>
      </w:pPr>
      <w:r>
        <w:rPr>
          <w:rFonts w:ascii="Times New Roman" w:cs="David" w:eastAsia="David" w:hAnsi="Times New Roman"/>
          <w:b/>
          <w:bCs/>
          <w:i w:val="false"/>
          <w:iCs w:val="false"/>
          <w:sz w:val="32"/>
          <w:szCs w:val="32"/>
          <w:rt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sz w:val="24"/>
          <w:szCs w:val="24"/>
          <w:rtl/>
        </w:rPr>
        <w:t xml:space="preserve">הקורס: [שם הקורס ומספרו]</w:t>
      </w:r>
    </w:p>
    <w:p>
      <w:pPr>
        <w:bidi/>
        <w:spacing w:after="1400" w:line="360"/>
        <w:jc w:val="center"/>
      </w:pPr>
      <w:r>
        <w:rPr>
          <w:rFonts w:ascii="Times New Roman" w:cs="David" w:eastAsia="David" w:hAnsi="Times New Roman"/>
          <w:b w:val="false"/>
          <w:bCs w:val="false"/>
          <w:i w:val="false"/>
          <w:iCs w:val="false"/>
          <w:sz w:val="24"/>
          <w:szCs w:val="24"/>
          <w:rtl/>
        </w:rPr>
        <w:t xml:space="preserve">המרצה: [שם המרצה]</w:t>
      </w:r>
    </w:p>
    <w:p>
      <w:pPr>
        <w:bidi/>
        <w:spacing w:after="120" w:line="360"/>
        <w:jc w:val="center"/>
      </w:pPr>
      <w:r>
        <w:rPr>
          <w:rFonts w:ascii="Times New Roman" w:cs="David" w:eastAsia="David" w:hAnsi="Times New Roman"/>
          <w:b w:val="false"/>
          <w:bCs w:val="false"/>
          <w:i w:val="false"/>
          <w:iCs w:val="false"/>
          <w:sz w:val="24"/>
          <w:szCs w:val="24"/>
          <w:rtl/>
        </w:rPr>
        <w:t xml:space="preserve">מגיש/ה: [שם מלא], ת"ז [מספר]</w:t>
      </w:r>
    </w:p>
    <w:p>
      <w:pPr>
        <w:bidi/>
        <w:spacing w:after="0" w:line="360"/>
        <w:jc w:val="center"/>
      </w:pPr>
      <w:r>
        <w:rPr>
          <w:rFonts w:ascii="Times New Roman" w:cs="David" w:eastAsia="David" w:hAnsi="Times New Roman"/>
          <w:b w:val="false"/>
          <w:bCs w:val="false"/>
          <w:i w:val="false"/>
          <w:iCs w:val="false"/>
          <w:sz w:val="24"/>
          <w:szCs w:val="24"/>
          <w:rtl/>
        </w:rPr>
        <w:t xml:space="preserve">תשרי תשפ"ז, ספטמבר 2026</w:t>
      </w:r>
    </w:p>
    <w:p>
      <w:pPr>
        <w:pageBreakBefore/>
        <w:bidi/>
        <w:spacing w:after="360" w:line="360"/>
        <w:jc w:val="center"/>
      </w:pPr>
      <w:r>
        <w:rPr>
          <w:rFonts w:ascii="Times New Roman" w:cs="David" w:eastAsia="David" w:hAnsi="Times New Roman"/>
          <w:b/>
          <w:bCs/>
          <w:i w:val="false"/>
          <w:iCs w:val="false"/>
          <w:sz w:val="32"/>
          <w:szCs w:val="32"/>
          <w:rtl/>
        </w:rPr>
        <w:t xml:space="preserve">תוכן עניינים</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מבוא</w:t>
      </w:r>
      <w:r>
        <w:rPr>
          <w:rFonts w:ascii="Times New Roman" w:cs="David" w:eastAsia="David" w:hAnsi="Times New Roman"/>
          <w:sz w:val="24"/>
          <w:szCs w:val="24"/>
          <w:rtl/>
        </w:rPr>
        <w:t xml:space="preserve">	1</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פרק 1: החמור: זואולוגיה, מקורות יהודיים ומקורות כלליים</w:t>
      </w:r>
      <w:r>
        <w:rPr>
          <w:rFonts w:ascii="Times New Roman" w:cs="David" w:eastAsia="David" w:hAnsi="Times New Roman"/>
          <w:sz w:val="24"/>
          <w:szCs w:val="24"/>
          <w:rtl/>
        </w:rPr>
        <w:t xml:space="preserve">	2</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1.1 החמור מבחינה זואולוגית</w:t>
      </w:r>
      <w:r>
        <w:rPr>
          <w:rFonts w:ascii="Times New Roman" w:cs="David" w:eastAsia="David" w:hAnsi="Times New Roman"/>
          <w:sz w:val="24"/>
          <w:szCs w:val="24"/>
          <w:rtl/>
        </w:rPr>
        <w:t xml:space="preserve">	2</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1.2 החמור במקורות היהודיים</w:t>
      </w:r>
      <w:r>
        <w:rPr>
          <w:rFonts w:ascii="Times New Roman" w:cs="David" w:eastAsia="David" w:hAnsi="Times New Roman"/>
          <w:sz w:val="24"/>
          <w:szCs w:val="24"/>
          <w:rtl/>
        </w:rPr>
        <w:t xml:space="preserve">	2</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1.3 החמור במקורות הכלליים</w:t>
      </w:r>
      <w:r>
        <w:rPr>
          <w:rFonts w:ascii="Times New Roman" w:cs="David" w:eastAsia="David" w:hAnsi="Times New Roman"/>
          <w:sz w:val="24"/>
          <w:szCs w:val="24"/>
          <w:rtl/>
        </w:rPr>
        <w:t xml:space="preserve">	3</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1.4 קורפוס משלי החמור: סיכום</w:t>
      </w:r>
      <w:r>
        <w:rPr>
          <w:rFonts w:ascii="Times New Roman" w:cs="David" w:eastAsia="David" w:hAnsi="Times New Roman"/>
          <w:sz w:val="24"/>
          <w:szCs w:val="24"/>
          <w:rtl/>
        </w:rPr>
        <w:t xml:space="preserve">	4</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פרק 2: היוצר, הספר וההקדמה</w:t>
      </w:r>
      <w:r>
        <w:rPr>
          <w:rFonts w:ascii="Times New Roman" w:cs="David" w:eastAsia="David" w:hAnsi="Times New Roman"/>
          <w:sz w:val="24"/>
          <w:szCs w:val="24"/>
          <w:rtl/>
        </w:rPr>
        <w:t xml:space="preserve">	6</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2.1 רבי ברכיה בן נטרונאי הנקדן</w:t>
      </w:r>
      <w:r>
        <w:rPr>
          <w:rFonts w:ascii="Times New Roman" w:cs="David" w:eastAsia="David" w:hAnsi="Times New Roman"/>
          <w:sz w:val="24"/>
          <w:szCs w:val="24"/>
          <w:rtl/>
        </w:rPr>
        <w:t xml:space="preserve">	6</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2.2 הספר: משלי שועלים</w:t>
      </w:r>
      <w:r>
        <w:rPr>
          <w:rFonts w:ascii="Times New Roman" w:cs="David" w:eastAsia="David" w:hAnsi="Times New Roman"/>
          <w:sz w:val="24"/>
          <w:szCs w:val="24"/>
          <w:rtl/>
        </w:rPr>
        <w:t xml:space="preserve">	6</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2.3 הקדמת המחבר</w:t>
      </w:r>
      <w:r>
        <w:rPr>
          <w:rFonts w:ascii="Times New Roman" w:cs="David" w:eastAsia="David" w:hAnsi="Times New Roman"/>
          <w:sz w:val="24"/>
          <w:szCs w:val="24"/>
          <w:rtl/>
        </w:rPr>
        <w:t xml:space="preserve">	7</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2.4 שלושת המשלים הנבחרים: סקירה ונמשל</w:t>
      </w:r>
      <w:r>
        <w:rPr>
          <w:rFonts w:ascii="Times New Roman" w:cs="David" w:eastAsia="David" w:hAnsi="Times New Roman"/>
          <w:sz w:val="24"/>
          <w:szCs w:val="24"/>
          <w:rtl/>
        </w:rPr>
        <w:t xml:space="preserve">	7</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פרק 3: "חמור, דבורים וצרעה": ניתוח</w:t>
      </w:r>
      <w:r>
        <w:rPr>
          <w:rFonts w:ascii="Times New Roman" w:cs="David" w:eastAsia="David" w:hAnsi="Times New Roman"/>
          <w:sz w:val="24"/>
          <w:szCs w:val="24"/>
          <w:rtl/>
        </w:rPr>
        <w:t xml:space="preserve">	8</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3.1 מבנה המשל ומהלך העלילה</w:t>
      </w:r>
      <w:r>
        <w:rPr>
          <w:rFonts w:ascii="Times New Roman" w:cs="David" w:eastAsia="David" w:hAnsi="Times New Roman"/>
          <w:sz w:val="24"/>
          <w:szCs w:val="24"/>
          <w:rtl/>
        </w:rPr>
        <w:t xml:space="preserve">	8</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3.2 השיבוצים</w:t>
      </w:r>
      <w:r>
        <w:rPr>
          <w:rFonts w:ascii="Times New Roman" w:cs="David" w:eastAsia="David" w:hAnsi="Times New Roman"/>
          <w:sz w:val="24"/>
          <w:szCs w:val="24"/>
          <w:rtl/>
        </w:rPr>
        <w:t xml:space="preserve">	8</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3.3 הפואטיקה של המשל</w:t>
      </w:r>
      <w:r>
        <w:rPr>
          <w:rFonts w:ascii="Times New Roman" w:cs="David" w:eastAsia="David" w:hAnsi="Times New Roman"/>
          <w:sz w:val="24"/>
          <w:szCs w:val="24"/>
          <w:rtl/>
        </w:rPr>
        <w:t xml:space="preserve">	9</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3.4 הקשר בין המשל לנמשל</w:t>
      </w:r>
      <w:r>
        <w:rPr>
          <w:rFonts w:ascii="Times New Roman" w:cs="David" w:eastAsia="David" w:hAnsi="Times New Roman"/>
          <w:sz w:val="24"/>
          <w:szCs w:val="24"/>
          <w:rtl/>
        </w:rPr>
        <w:t xml:space="preserve">	10</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פרק 4: "חמור בעור ארי" (משל מז): ניתוח</w:t>
      </w:r>
      <w:r>
        <w:rPr>
          <w:rFonts w:ascii="Times New Roman" w:cs="David" w:eastAsia="David" w:hAnsi="Times New Roman"/>
          <w:sz w:val="24"/>
          <w:szCs w:val="24"/>
          <w:rtl/>
        </w:rPr>
        <w:t xml:space="preserve">	11</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4.1 מבנה המשל ומהלך העלילה</w:t>
      </w:r>
      <w:r>
        <w:rPr>
          <w:rFonts w:ascii="Times New Roman" w:cs="David" w:eastAsia="David" w:hAnsi="Times New Roman"/>
          <w:sz w:val="24"/>
          <w:szCs w:val="24"/>
          <w:rtl/>
        </w:rPr>
        <w:t xml:space="preserve">	11</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4.2 השיבוצים</w:t>
      </w:r>
      <w:r>
        <w:rPr>
          <w:rFonts w:ascii="Times New Roman" w:cs="David" w:eastAsia="David" w:hAnsi="Times New Roman"/>
          <w:sz w:val="24"/>
          <w:szCs w:val="24"/>
          <w:rtl/>
        </w:rPr>
        <w:t xml:space="preserve">	11</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4.3 הפואטיקה של המשל</w:t>
      </w:r>
      <w:r>
        <w:rPr>
          <w:rFonts w:ascii="Times New Roman" w:cs="David" w:eastAsia="David" w:hAnsi="Times New Roman"/>
          <w:sz w:val="24"/>
          <w:szCs w:val="24"/>
          <w:rtl/>
        </w:rPr>
        <w:t xml:space="preserve">	12</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4.4 הקשר בין המשל לנמשל</w:t>
      </w:r>
      <w:r>
        <w:rPr>
          <w:rFonts w:ascii="Times New Roman" w:cs="David" w:eastAsia="David" w:hAnsi="Times New Roman"/>
          <w:sz w:val="24"/>
          <w:szCs w:val="24"/>
          <w:rtl/>
        </w:rPr>
        <w:t xml:space="preserve">	13</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פרק 5: "חמור, כלב ואדם" (משל יד): ניתוח</w:t>
      </w:r>
      <w:r>
        <w:rPr>
          <w:rFonts w:ascii="Times New Roman" w:cs="David" w:eastAsia="David" w:hAnsi="Times New Roman"/>
          <w:sz w:val="24"/>
          <w:szCs w:val="24"/>
          <w:rtl/>
        </w:rPr>
        <w:t xml:space="preserve">	14</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5.1 מבנה המשל ומהלך העלילה</w:t>
      </w:r>
      <w:r>
        <w:rPr>
          <w:rFonts w:ascii="Times New Roman" w:cs="David" w:eastAsia="David" w:hAnsi="Times New Roman"/>
          <w:sz w:val="24"/>
          <w:szCs w:val="24"/>
          <w:rtl/>
        </w:rPr>
        <w:t xml:space="preserve">	14</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5.2 השיבוצים</w:t>
      </w:r>
      <w:r>
        <w:rPr>
          <w:rFonts w:ascii="Times New Roman" w:cs="David" w:eastAsia="David" w:hAnsi="Times New Roman"/>
          <w:sz w:val="24"/>
          <w:szCs w:val="24"/>
          <w:rtl/>
        </w:rPr>
        <w:t xml:space="preserve">	14</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5.3 הפואטיקה של המשל</w:t>
      </w:r>
      <w:r>
        <w:rPr>
          <w:rFonts w:ascii="Times New Roman" w:cs="David" w:eastAsia="David" w:hAnsi="Times New Roman"/>
          <w:sz w:val="24"/>
          <w:szCs w:val="24"/>
          <w:rtl/>
        </w:rPr>
        <w:t xml:space="preserve">	15</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5.4 הקשר בין המשל לנמשל</w:t>
      </w:r>
      <w:r>
        <w:rPr>
          <w:rFonts w:ascii="Times New Roman" w:cs="David" w:eastAsia="David" w:hAnsi="Times New Roman"/>
          <w:sz w:val="24"/>
          <w:szCs w:val="24"/>
          <w:rtl/>
        </w:rPr>
        <w:t xml:space="preserve">	15</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פרק 6: סיכום ומסקנות</w:t>
      </w:r>
      <w:r>
        <w:rPr>
          <w:rFonts w:ascii="Times New Roman" w:cs="David" w:eastAsia="David" w:hAnsi="Times New Roman"/>
          <w:sz w:val="24"/>
          <w:szCs w:val="24"/>
          <w:rtl/>
        </w:rPr>
        <w:t xml:space="preserve">	17</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ביבליוגרפיה</w:t>
      </w:r>
      <w:r>
        <w:rPr>
          <w:rFonts w:ascii="Times New Roman" w:cs="David" w:eastAsia="David" w:hAnsi="Times New Roman"/>
          <w:sz w:val="24"/>
          <w:szCs w:val="24"/>
          <w:rtl/>
        </w:rPr>
        <w:t xml:space="preserve">	19</w:t>
      </w:r>
    </w:p>
    <w:p>
      <w:pPr>
        <w:tabs>
          <w:tab w:val="right" w:pos="9072" w:leader="dot"/>
        </w:tabs>
        <w:bidi/>
        <w:spacing w:after="60" w:before="120" w:line="360"/>
        <w:jc w:val="start"/>
      </w:pPr>
      <w:r>
        <w:rPr>
          <w:rFonts w:ascii="Times New Roman" w:cs="David" w:eastAsia="David" w:hAnsi="Times New Roman"/>
          <w:b/>
          <w:bCs/>
          <w:i w:val="false"/>
          <w:iCs w:val="false"/>
          <w:sz w:val="24"/>
          <w:szCs w:val="24"/>
          <w:rtl/>
        </w:rPr>
        <w:t xml:space="preserve">נספחים: המשלים הנדונים</w:t>
      </w:r>
      <w:r>
        <w:rPr>
          <w:rFonts w:ascii="Times New Roman" w:cs="David" w:eastAsia="David" w:hAnsi="Times New Roman"/>
          <w:sz w:val="24"/>
          <w:szCs w:val="24"/>
          <w:rtl/>
        </w:rPr>
        <w:t xml:space="preserve">	21</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נספח א: חמור, דבורים וצרעה</w:t>
      </w:r>
      <w:r>
        <w:rPr>
          <w:rFonts w:ascii="Times New Roman" w:cs="David" w:eastAsia="David" w:hAnsi="Times New Roman"/>
          <w:sz w:val="24"/>
          <w:szCs w:val="24"/>
          <w:rtl/>
        </w:rPr>
        <w:t xml:space="preserve">	21</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נספח ב: משל מז: חמור בעור ארי</w:t>
      </w:r>
      <w:r>
        <w:rPr>
          <w:rFonts w:ascii="Times New Roman" w:cs="David" w:eastAsia="David" w:hAnsi="Times New Roman"/>
          <w:sz w:val="24"/>
          <w:szCs w:val="24"/>
          <w:rtl/>
        </w:rPr>
        <w:t xml:space="preserve">	21</w:t>
      </w:r>
    </w:p>
    <w:p>
      <w:pPr>
        <w:tabs>
          <w:tab w:val="right" w:pos="9072" w:leader="dot"/>
        </w:tabs>
        <w:bidi/>
        <w:spacing w:after="0" w:before="0" w:line="360"/>
        <w:ind w:start="567"/>
        <w:jc w:val="start"/>
      </w:pPr>
      <w:r>
        <w:rPr>
          <w:rFonts w:ascii="Times New Roman" w:cs="David" w:eastAsia="David" w:hAnsi="Times New Roman"/>
          <w:b w:val="false"/>
          <w:bCs w:val="false"/>
          <w:i w:val="false"/>
          <w:iCs w:val="false"/>
          <w:sz w:val="24"/>
          <w:szCs w:val="24"/>
          <w:rtl/>
        </w:rPr>
        <w:t xml:space="preserve">נספח ג: משל יד: חמור, כלב ואדם</w:t>
      </w:r>
      <w:r>
        <w:rPr>
          <w:rFonts w:ascii="Times New Roman" w:cs="David" w:eastAsia="David" w:hAnsi="Times New Roman"/>
          <w:sz w:val="24"/>
          <w:szCs w:val="24"/>
          <w:rtl/>
        </w:rPr>
        <w:t xml:space="preserve">	22</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sz w:val="32"/>
          <w:szCs w:val="32"/>
          <w:rtl/>
        </w:rPr>
        <w:t xml:space="preserve">מבוא</w:t>
      </w:r>
    </w:p>
    <w:p>
      <w:pPr>
        <w:bidi/>
        <w:spacing w:after="120" w:before="0" w:line="360"/>
        <w:jc w:val="both"/>
      </w:pPr>
      <w:r>
        <w:rPr>
          <w:rFonts w:ascii="Times New Roman" w:cs="David" w:eastAsia="David" w:hAnsi="Times New Roman"/>
          <w:i w:val="false"/>
          <w:iCs w:val="false"/>
          <w:sz w:val="24"/>
          <w:szCs w:val="24"/>
          <w:rt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sz w:val="24"/>
          <w:szCs w:val="24"/>
          <w:rtl/>
        </w:rPr>
        <w:t xml:space="preserve">העבודה מתמקדת בשלושה משלים מתוך "משלי שועלים" לרבי ברכיה הנקדן, שחי באנגליה ובצפון צרפת בסוף המאה השתים עשרה ובראשית המאה השלוש עשרה: "חמור, דבורים וצרעה", "חמור בעור ארי" (משל מז) ו"חמור, כלב ואדם" (משל יד).</w:t>
      </w:r>
      <w:r>
        <w:rPr>
          <w:rStyle w:val="FootnoteReference"/>
        </w:rPr>
        <w:footnoteReference w:id="1"/>
      </w:r>
      <w:r>
        <w:rPr>
          <w:rFonts w:ascii="Times New Roman" w:cs="David" w:eastAsia="David" w:hAnsi="Times New Roman"/>
          <w:i w:val="false"/>
          <w:iCs w:val="false"/>
          <w:sz w:val="24"/>
          <w:szCs w:val="24"/>
          <w:rtl/>
        </w:rPr>
        <w:t xml:space="preserve"> בשלושתם החמור הוא הגיבור, ובשלושתם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sz w:val="24"/>
          <w:szCs w:val="24"/>
          <w:rt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sz w:val="24"/>
          <w:szCs w:val="24"/>
          <w:rtl/>
        </w:rPr>
        <w:t xml:space="preserve">מבנה העבודה: פרק 1 סוקר את החמור מן הבחינה הזואולוגית, במקורות היהודיים ובמקורות הכלליים, ומציג את קורפוס משלי החמור בימי הביניים. פרק 2 עוסק ביוצר, בספר ובהקדמתו, וסוקר את שלושת המשלים הנבחרים ואת הנמשל של כל אחד מהם. פרקים 3 עד 5 מנתחים כל משל בנפרד: מבנהו, השיבוצים שבו, הפואטיקה שלו והקשר בין המשל לנמשל. פרק 6 מסכם ומשיב על שאלת המחקר. בנספח מובאים שלושת המשלים במלואם.</w:t>
      </w:r>
    </w:p>
    <w:p>
      <w:pPr>
        <w:bidi/>
        <w:spacing w:after="120" w:before="0" w:line="360"/>
        <w:jc w:val="both"/>
      </w:pPr>
      <w:r>
        <w:rPr>
          <w:rFonts w:ascii="Times New Roman" w:cs="David" w:eastAsia="David" w:hAnsi="Times New Roman"/>
          <w:i w:val="false"/>
          <w:iCs w:val="false"/>
          <w:sz w:val="24"/>
          <w:szCs w:val="24"/>
          <w:rt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1.1 החמור מבחינה זואולוגית</w:t>
      </w:r>
    </w:p>
    <w:p>
      <w:pPr>
        <w:bidi/>
        <w:spacing w:after="120" w:before="0" w:line="360"/>
        <w:jc w:val="both"/>
      </w:pPr>
      <w:r>
        <w:rPr>
          <w:rFonts w:ascii="Times New Roman" w:cs="David" w:eastAsia="David" w:hAnsi="Times New Roman"/>
          <w:i w:val="false"/>
          <w:iCs w:val="false"/>
          <w:sz w:val="24"/>
          <w:szCs w:val="24"/>
          <w:rtl/>
        </w:rPr>
        <w:t xml:space="preserve">החמור (</w:t>
      </w:r>
      <w:r>
        <w:rPr>
          <w:rFonts w:ascii="Times New Roman" w:cs="David" w:eastAsia="David" w:hAnsi="Times New Roman"/>
          <w:i w:val="false"/>
          <w:iCs w:val="false"/>
          <w:sz w:val="24"/>
          <w:szCs w:val="24"/>
          <w:rtl w:val="false"/>
        </w:rPr>
        <w:t xml:space="preserve">Equus asinus) </w:t>
      </w:r>
      <w:r>
        <w:rPr>
          <w:rFonts w:ascii="Times New Roman" w:cs="David" w:eastAsia="David" w:hAnsi="Times New Roman"/>
          <w:i w:val="false"/>
          <w:iCs w:val="false"/>
          <w:sz w:val="24"/>
          <w:szCs w:val="24"/>
          <w:rtl/>
        </w:rPr>
        <w:t xml:space="preserve">הוא בן משפחת הסוסיים. הוא בוית מן הפרא האפריקני (</w:t>
      </w:r>
      <w:r>
        <w:rPr>
          <w:rFonts w:ascii="Times New Roman" w:cs="David" w:eastAsia="David" w:hAnsi="Times New Roman"/>
          <w:i w:val="false"/>
          <w:iCs w:val="false"/>
          <w:sz w:val="24"/>
          <w:szCs w:val="24"/>
          <w:rtl w:val="false"/>
        </w:rPr>
        <w:t xml:space="preserve">Equus africanus) </w:t>
      </w:r>
      <w:r>
        <w:rPr>
          <w:rFonts w:ascii="Times New Roman" w:cs="David" w:eastAsia="David" w:hAnsi="Times New Roman"/>
          <w:i w:val="false"/>
          <w:iCs w:val="false"/>
          <w:sz w:val="24"/>
          <w:szCs w:val="24"/>
          <w:rt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sz w:val="24"/>
          <w:szCs w:val="24"/>
          <w:rt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בשלושת המשלים.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1.2 החמור במקורות היהודיים</w:t>
      </w:r>
    </w:p>
    <w:p>
      <w:pPr>
        <w:bidi/>
        <w:spacing w:after="120" w:before="0" w:line="360"/>
        <w:jc w:val="both"/>
      </w:pPr>
      <w:r>
        <w:rPr>
          <w:rFonts w:ascii="Times New Roman" w:cs="David" w:eastAsia="David" w:hAnsi="Times New Roman"/>
          <w:i w:val="false"/>
          <w:iCs w:val="false"/>
          <w:sz w:val="24"/>
          <w:szCs w:val="24"/>
          <w:rt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sz w:val="24"/>
          <w:szCs w:val="24"/>
          <w:rt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sz w:val="24"/>
          <w:szCs w:val="24"/>
          <w:rt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הפרא, חמור הבר, מופיע באיוב לט, ה-ח כסמל לחירות שאין לאדם שליטה בה. יהודה פליקס דן בהבחנה בין החמור לפרא ובזיהוים הזואולוגי.</w:t>
      </w:r>
      <w:r>
        <w:rPr>
          <w:rStyle w:val="FootnoteReference"/>
        </w:rPr>
        <w:footnoteReference w:id="4"/>
      </w:r>
    </w:p>
    <w:p>
      <w:pPr>
        <w:bidi/>
        <w:spacing w:after="120" w:before="0" w:line="360"/>
        <w:jc w:val="both"/>
      </w:pPr>
      <w:r>
        <w:rPr>
          <w:rFonts w:ascii="Times New Roman" w:cs="David" w:eastAsia="David" w:hAnsi="Times New Roman"/>
          <w:i w:val="false"/>
          <w:iCs w:val="false"/>
          <w:sz w:val="24"/>
          <w:szCs w:val="24"/>
          <w:rt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5"/>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1.3 החמור במקורות הכלליים</w:t>
      </w:r>
    </w:p>
    <w:p>
      <w:pPr>
        <w:bidi/>
        <w:spacing w:after="120" w:before="0" w:line="360"/>
        <w:jc w:val="both"/>
      </w:pPr>
      <w:r>
        <w:rPr>
          <w:rFonts w:ascii="Times New Roman" w:cs="David" w:eastAsia="David" w:hAnsi="Times New Roman"/>
          <w:i w:val="false"/>
          <w:iCs w:val="false"/>
          <w:sz w:val="24"/>
          <w:szCs w:val="24"/>
          <w:rt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והחמור בעור האריה (פרי 188, וגרסה נוספת פרי 358), שנחשף בגלל אוזניו או קולו.</w:t>
      </w:r>
      <w:r>
        <w:rPr>
          <w:rStyle w:val="FootnoteReference"/>
        </w:rPr>
        <w:footnoteReference w:id="6"/>
      </w:r>
      <w:r>
        <w:rPr>
          <w:rFonts w:ascii="Times New Roman" w:cs="David" w:eastAsia="David" w:hAnsi="Times New Roman"/>
          <w:i w:val="false"/>
          <w:iCs w:val="false"/>
          <w:sz w:val="24"/>
          <w:szCs w:val="24"/>
          <w:rt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שניים מן המשלים האלה הם המקורות הישירים של משלים יד ו-מז אצל ברכיה, ומשל עור האריה הגיע אליו כנראה דרך אביאנוס (משל 5) ולא ישירות מן היוונית.</w:t>
      </w:r>
      <w:r>
        <w:rPr>
          <w:rStyle w:val="FootnoteReference"/>
        </w:rPr>
        <w:footnoteReference w:id="7"/>
      </w:r>
    </w:p>
    <w:p>
      <w:pPr>
        <w:bidi/>
        <w:spacing w:after="120" w:before="0" w:line="360"/>
        <w:jc w:val="both"/>
      </w:pPr>
      <w:r>
        <w:rPr>
          <w:rFonts w:ascii="Times New Roman" w:cs="David" w:eastAsia="David" w:hAnsi="Times New Roman"/>
          <w:i w:val="false"/>
          <w:iCs w:val="false"/>
          <w:sz w:val="24"/>
          <w:szCs w:val="24"/>
          <w:rtl/>
        </w:rPr>
        <w:t xml:space="preserve">במפתחות הבינלאומיים של סיפורי העם שני הטיפוסים רשומים: </w:t>
      </w:r>
      <w:r>
        <w:rPr>
          <w:rFonts w:ascii="Times New Roman" w:cs="David" w:eastAsia="David" w:hAnsi="Times New Roman"/>
          <w:i w:val="false"/>
          <w:iCs w:val="false"/>
          <w:sz w:val="24"/>
          <w:szCs w:val="24"/>
          <w:rtl w:val="false"/>
        </w:rPr>
        <w:t xml:space="preserve">ATU 214, "</w:t>
      </w:r>
      <w:r>
        <w:rPr>
          <w:rFonts w:ascii="Times New Roman" w:cs="David" w:eastAsia="David" w:hAnsi="Times New Roman"/>
          <w:i w:val="false"/>
          <w:iCs w:val="false"/>
          <w:sz w:val="24"/>
          <w:szCs w:val="24"/>
          <w:rtl/>
        </w:rPr>
        <w:t xml:space="preserve">החמור המנסה ללטף את אדוניו כמו הכלב", ו-</w:t>
      </w:r>
      <w:r>
        <w:rPr>
          <w:rFonts w:ascii="Times New Roman" w:cs="David" w:eastAsia="David" w:hAnsi="Times New Roman"/>
          <w:i w:val="false"/>
          <w:iCs w:val="false"/>
          <w:sz w:val="24"/>
          <w:szCs w:val="24"/>
          <w:rtl w:val="false"/>
        </w:rPr>
        <w:t xml:space="preserve">ATU 214B, "</w:t>
      </w:r>
      <w:r>
        <w:rPr>
          <w:rFonts w:ascii="Times New Roman" w:cs="David" w:eastAsia="David" w:hAnsi="Times New Roman"/>
          <w:i w:val="false"/>
          <w:iCs w:val="false"/>
          <w:sz w:val="24"/>
          <w:szCs w:val="24"/>
          <w:rtl/>
        </w:rPr>
        <w:t xml:space="preserve">החמור בעור האריה".</w:t>
      </w:r>
      <w:r>
        <w:rPr>
          <w:rStyle w:val="FootnoteReference"/>
        </w:rPr>
        <w:footnoteReference w:id="8"/>
      </w:r>
      <w:r>
        <w:rPr>
          <w:rFonts w:ascii="Times New Roman" w:cs="David" w:eastAsia="David" w:hAnsi="Times New Roman"/>
          <w:i w:val="false"/>
          <w:iCs w:val="false"/>
          <w:sz w:val="24"/>
          <w:szCs w:val="24"/>
          <w:rtl/>
        </w:rPr>
        <w:t xml:space="preserve"> במפתח המוטיבים של תומפסון החמור נקשר בעיקר לפרק </w:t>
      </w:r>
      <w:r>
        <w:rPr>
          <w:rFonts w:ascii="Times New Roman" w:cs="David" w:eastAsia="David" w:hAnsi="Times New Roman"/>
          <w:i w:val="false"/>
          <w:iCs w:val="false"/>
          <w:sz w:val="24"/>
          <w:szCs w:val="24"/>
          <w:rtl w:val="false"/>
        </w:rPr>
        <w:t xml:space="preserve">J (</w:t>
      </w:r>
      <w:r>
        <w:rPr>
          <w:rFonts w:ascii="Times New Roman" w:cs="David" w:eastAsia="David" w:hAnsi="Times New Roman"/>
          <w:i w:val="false"/>
          <w:iCs w:val="false"/>
          <w:sz w:val="24"/>
          <w:szCs w:val="24"/>
          <w:rtl/>
        </w:rPr>
        <w:t xml:space="preserve">חוכמה וטיפשות): המוטיב </w:t>
      </w:r>
      <w:r>
        <w:rPr>
          <w:rFonts w:ascii="Times New Roman" w:cs="David" w:eastAsia="David" w:hAnsi="Times New Roman"/>
          <w:i w:val="false"/>
          <w:iCs w:val="false"/>
          <w:sz w:val="24"/>
          <w:szCs w:val="24"/>
          <w:rtl w:val="false"/>
        </w:rPr>
        <w:t xml:space="preserve">J951.1 "</w:t>
      </w:r>
      <w:r>
        <w:rPr>
          <w:rFonts w:ascii="Times New Roman" w:cs="David" w:eastAsia="David" w:hAnsi="Times New Roman"/>
          <w:i w:val="false"/>
          <w:iCs w:val="false"/>
          <w:sz w:val="24"/>
          <w:szCs w:val="24"/>
          <w:rtl/>
        </w:rPr>
        <w:t xml:space="preserve">חמור בעור אריה" והמוטיב </w:t>
      </w:r>
      <w:r>
        <w:rPr>
          <w:rFonts w:ascii="Times New Roman" w:cs="David" w:eastAsia="David" w:hAnsi="Times New Roman"/>
          <w:i w:val="false"/>
          <w:iCs w:val="false"/>
          <w:sz w:val="24"/>
          <w:szCs w:val="24"/>
          <w:rtl w:val="false"/>
        </w:rPr>
        <w:t xml:space="preserve">J2413.1 "</w:t>
      </w:r>
      <w:r>
        <w:rPr>
          <w:rFonts w:ascii="Times New Roman" w:cs="David" w:eastAsia="David" w:hAnsi="Times New Roman"/>
          <w:i w:val="false"/>
          <w:iCs w:val="false"/>
          <w:sz w:val="24"/>
          <w:szCs w:val="24"/>
          <w:rtl/>
        </w:rPr>
        <w:t xml:space="preserve">חמור מנסה ללטף את אדוניו כמו הכלב". במשל הצרעה פועל מוטיב מפרק אחר, </w:t>
      </w:r>
      <w:r>
        <w:rPr>
          <w:rFonts w:ascii="Times New Roman" w:cs="David" w:eastAsia="David" w:hAnsi="Times New Roman"/>
          <w:i w:val="false"/>
          <w:iCs w:val="false"/>
          <w:sz w:val="24"/>
          <w:szCs w:val="24"/>
          <w:rtl w:val="false"/>
        </w:rPr>
        <w:t xml:space="preserve">L315, "</w:t>
      </w:r>
      <w:r>
        <w:rPr>
          <w:rFonts w:ascii="Times New Roman" w:cs="David" w:eastAsia="David" w:hAnsi="Times New Roman"/>
          <w:i w:val="false"/>
          <w:iCs w:val="false"/>
          <w:sz w:val="24"/>
          <w:szCs w:val="24"/>
          <w:rtl/>
        </w:rPr>
        <w:t xml:space="preserve">בעל חיים קטן מנצח בעל חיים גדול".</w:t>
      </w:r>
      <w:r>
        <w:rPr>
          <w:rStyle w:val="FootnoteReference"/>
        </w:rPr>
        <w:footnoteReference w:id="9"/>
      </w:r>
      <w:r>
        <w:rPr>
          <w:rFonts w:ascii="Times New Roman" w:cs="David" w:eastAsia="David" w:hAnsi="Times New Roman"/>
          <w:i w:val="false"/>
          <w:iCs w:val="false"/>
          <w:sz w:val="24"/>
          <w:szCs w:val="24"/>
          <w:rt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sz w:val="24"/>
          <w:szCs w:val="24"/>
          <w:rt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0"/>
      </w:r>
      <w:r>
        <w:rPr>
          <w:rFonts w:ascii="Times New Roman" w:cs="David" w:eastAsia="David" w:hAnsi="Times New Roman"/>
          <w:i w:val="false"/>
          <w:iCs w:val="false"/>
          <w:sz w:val="24"/>
          <w:szCs w:val="24"/>
          <w:rt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1"/>
      </w:r>
      <w:r>
        <w:rPr>
          <w:rFonts w:ascii="Times New Roman" w:cs="David" w:eastAsia="David" w:hAnsi="Times New Roman"/>
          <w:i w:val="false"/>
          <w:iCs w:val="false"/>
          <w:sz w:val="24"/>
          <w:szCs w:val="24"/>
          <w:rtl/>
        </w:rPr>
        <w:t xml:space="preserve"> ב"משל הקדמוני" לרבי יצחק אבן סהולה (1281) לא איתרתי משל שהחמור עומד במרכזו, ולכן החיבור אינו נכלל בקורפוס.</w:t>
      </w:r>
      <w:r>
        <w:rPr>
          <w:rStyle w:val="FootnoteReference"/>
        </w:rPr>
        <w:footnoteReference w:id="12"/>
      </w:r>
      <w:r>
        <w:rPr>
          <w:rFonts w:ascii="Times New Roman" w:cs="David" w:eastAsia="David" w:hAnsi="Times New Roman"/>
          <w:i w:val="false"/>
          <w:iCs w:val="false"/>
          <w:sz w:val="24"/>
          <w:szCs w:val="24"/>
          <w:rtl/>
        </w:rPr>
        <w:t xml:space="preserve"> מקבילה ישירה למשל יד יש אצל מארי דה פראנס, בת דורו של ברכיה, במשל "על החמור שרצה לשחק עם אדוניו".</w:t>
      </w:r>
      <w:r>
        <w:rPr>
          <w:rStyle w:val="FootnoteReference"/>
        </w:rPr>
        <w:footnoteReference w:id="13"/>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1.4 קורפוס משלי החמור: סיכום</w:t>
      </w:r>
    </w:p>
    <w:p>
      <w:pPr>
        <w:bidi/>
        <w:spacing w:after="120" w:before="0" w:line="360"/>
        <w:jc w:val="both"/>
      </w:pPr>
      <w:r>
        <w:rPr>
          <w:rFonts w:ascii="Times New Roman" w:cs="David" w:eastAsia="David" w:hAnsi="Times New Roman"/>
          <w:i w:val="false"/>
          <w:iCs w:val="false"/>
          <w:sz w:val="24"/>
          <w:szCs w:val="24"/>
          <w:rtl/>
        </w:rPr>
        <w:t xml:space="preserve">הטבלה שלהלן מרכזת את משלי החמור שנסקרו, את תוכנם בקצרה ואת התכונה שהחמור מייצג בכל אחד מהם. השורות האחרונות הן שלושת המשלים של ברכיה שינותחו בפרקים 3 עד 5.</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91; </w:t>
            </w:r>
            <w:r>
              <w:rPr>
                <w:rFonts w:ascii="Times New Roman" w:cs="David" w:eastAsia="David" w:hAnsi="Times New Roman"/>
                <w:b w:val="false"/>
                <w:bCs w:val="false"/>
                <w:i w:val="false"/>
                <w:iCs w:val="false"/>
                <w:sz w:val="20"/>
                <w:szCs w:val="20"/>
                <w:rtl w:val="false"/>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188; אביאנוס 5; </w:t>
            </w:r>
            <w:r>
              <w:rPr>
                <w:rFonts w:ascii="Times New Roman" w:cs="David" w:eastAsia="David" w:hAnsi="Times New Roman"/>
                <w:b w:val="false"/>
                <w:bCs w:val="false"/>
                <w:i w:val="false"/>
                <w:iCs w:val="false"/>
                <w:sz w:val="20"/>
                <w:szCs w:val="20"/>
                <w:rtl w:val="false"/>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זלזול בקטן, כוח בלי תחבולה</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2.1 רבי ברכיה בן נטרונאי הנקדן</w:t>
      </w:r>
    </w:p>
    <w:p>
      <w:pPr>
        <w:bidi/>
        <w:spacing w:after="120" w:before="0" w:line="360"/>
        <w:jc w:val="both"/>
      </w:pPr>
      <w:r>
        <w:rPr>
          <w:rFonts w:ascii="Times New Roman" w:cs="David" w:eastAsia="David" w:hAnsi="Times New Roman"/>
          <w:i w:val="false"/>
          <w:iCs w:val="false"/>
          <w:sz w:val="24"/>
          <w:szCs w:val="24"/>
          <w:rt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sz w:val="24"/>
          <w:szCs w:val="24"/>
          <w:rtl w:val="false"/>
        </w:rPr>
        <w:t xml:space="preserve">Benedictus le Puncteur), </w:t>
      </w:r>
      <w:r>
        <w:rPr>
          <w:rFonts w:ascii="Times New Roman" w:cs="David" w:eastAsia="David" w:hAnsi="Times New Roman"/>
          <w:i w:val="false"/>
          <w:iCs w:val="false"/>
          <w:sz w:val="24"/>
          <w:szCs w:val="24"/>
          <w:rtl/>
        </w:rPr>
        <w:t xml:space="preserve">יהודי מאוקספורד הנזכר במסמך אנגלי משנת 1194, והזיהוי מקובל על רוב החוקרים אף שאינו ודאי.</w:t>
      </w:r>
      <w:r>
        <w:rPr>
          <w:rStyle w:val="FootnoteReference"/>
        </w:rPr>
        <w:footnoteReference w:id="14"/>
      </w:r>
      <w:r>
        <w:rPr>
          <w:rFonts w:ascii="Times New Roman" w:cs="David" w:eastAsia="David" w:hAnsi="Times New Roman"/>
          <w:i w:val="false"/>
          <w:iCs w:val="false"/>
          <w:sz w:val="24"/>
          <w:szCs w:val="24"/>
          <w:rt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15"/>
      </w:r>
      <w:r>
        <w:rPr>
          <w:rFonts w:ascii="Times New Roman" w:cs="David" w:eastAsia="David" w:hAnsi="Times New Roman"/>
          <w:i w:val="false"/>
          <w:iCs w:val="false"/>
          <w:sz w:val="24"/>
          <w:szCs w:val="24"/>
          <w:rtl/>
        </w:rPr>
        <w:t xml:space="preserve"> הוא אפוא איש ביניים: בין התרבות הלטינית והצרפתית שסביבו ובין הספרייה העברית שבתוכו. הספרות הלטינית של ימי הביניים הכירה היטב את שירת החיות המדברות, ובמאה השתים עשרה פרחו בצרפת ובאנגליה קובצי משלים בלטינית ובצרפתית עתיקה.</w:t>
      </w:r>
      <w:r>
        <w:rPr>
          <w:rStyle w:val="FootnoteReference"/>
        </w:rPr>
        <w:footnoteReference w:id="16"/>
      </w:r>
      <w:r>
        <w:rPr>
          <w:rFonts w:ascii="Times New Roman" w:cs="David" w:eastAsia="David" w:hAnsi="Times New Roman"/>
          <w:i w:val="false"/>
          <w:iCs w:val="false"/>
          <w:sz w:val="24"/>
          <w:szCs w:val="24"/>
          <w:rtl/>
        </w:rPr>
        <w:t xml:space="preserve"> ברכיה כתב בתוך הפריחה הזאת, אך בעברית.</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2.2 הספר: משלי שועלים</w:t>
      </w:r>
    </w:p>
    <w:p>
      <w:pPr>
        <w:bidi/>
        <w:spacing w:after="120" w:before="0" w:line="360"/>
        <w:jc w:val="both"/>
      </w:pPr>
      <w:r>
        <w:rPr>
          <w:rFonts w:ascii="Times New Roman" w:cs="David" w:eastAsia="David" w:hAnsi="Times New Roman"/>
          <w:i w:val="false"/>
          <w:iCs w:val="false"/>
          <w:sz w:val="24"/>
          <w:szCs w:val="24"/>
          <w:rt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17"/>
      </w:r>
      <w:r>
        <w:rPr>
          <w:rFonts w:ascii="Times New Roman" w:cs="David" w:eastAsia="David" w:hAnsi="Times New Roman"/>
          <w:i w:val="false"/>
          <w:iCs w:val="false"/>
          <w:sz w:val="24"/>
          <w:szCs w:val="24"/>
          <w:rt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18"/>
      </w:r>
    </w:p>
    <w:p>
      <w:pPr>
        <w:bidi/>
        <w:spacing w:after="120" w:before="0" w:line="360"/>
        <w:jc w:val="both"/>
      </w:pPr>
      <w:r>
        <w:rPr>
          <w:rFonts w:ascii="Times New Roman" w:cs="David" w:eastAsia="David" w:hAnsi="Times New Roman"/>
          <w:i w:val="false"/>
          <w:iCs w:val="false"/>
          <w:sz w:val="24"/>
          <w:szCs w:val="24"/>
          <w:rt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משלושת המשלים הנדונים בעבודה מכילים את כל ארבעת החלקים; במשל הצרעה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19"/>
      </w:r>
      <w:r>
        <w:rPr>
          <w:rFonts w:ascii="Times New Roman" w:cs="David" w:eastAsia="David" w:hAnsi="Times New Roman"/>
          <w:i w:val="false"/>
          <w:iCs w:val="false"/>
          <w:sz w:val="24"/>
          <w:szCs w:val="24"/>
          <w:rtl/>
        </w:rPr>
        <w:t xml:space="preserve"> במשלי שועלים הפער הזה הוא לב העניין. כשחמור מדבר בלשונו של רחבעם, הקורא יודע איך זה ייגמר.</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2.3 הקדמת המחבר</w:t>
      </w:r>
    </w:p>
    <w:p>
      <w:pPr>
        <w:bidi/>
        <w:spacing w:after="120" w:before="0" w:line="360"/>
        <w:jc w:val="both"/>
      </w:pPr>
      <w:r>
        <w:rPr>
          <w:rFonts w:ascii="Times New Roman" w:cs="David" w:eastAsia="David" w:hAnsi="Times New Roman"/>
          <w:i w:val="false"/>
          <w:iCs w:val="false"/>
          <w:sz w:val="24"/>
          <w:szCs w:val="24"/>
          <w:rt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20"/>
      </w:r>
      <w:r>
        <w:rPr>
          <w:rFonts w:ascii="Times New Roman" w:cs="David" w:eastAsia="David" w:hAnsi="Times New Roman"/>
          <w:i w:val="false"/>
          <w:iCs w:val="false"/>
          <w:sz w:val="24"/>
          <w:szCs w:val="24"/>
          <w:rt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שלושת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2.4 שלושת המשלים הנבחרים: סקירה ונמשל</w:t>
      </w:r>
    </w:p>
    <w:p>
      <w:pPr>
        <w:bidi/>
        <w:spacing w:after="120" w:before="0" w:line="360"/>
        <w:jc w:val="both"/>
      </w:pPr>
      <w:r>
        <w:rPr>
          <w:rFonts w:ascii="Times New Roman" w:cs="David" w:eastAsia="David" w:hAnsi="Times New Roman"/>
          <w:i w:val="false"/>
          <w:iCs w:val="false"/>
          <w:sz w:val="24"/>
          <w:szCs w:val="24"/>
          <w:rt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sz w:val="24"/>
          <w:szCs w:val="24"/>
          <w:rt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sz w:val="24"/>
          <w:szCs w:val="24"/>
          <w:rt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sz w:val="24"/>
          <w:szCs w:val="24"/>
          <w:rt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3.2 השיבוצים</w:t>
      </w:r>
    </w:p>
    <w:p>
      <w:pPr>
        <w:bidi/>
        <w:spacing w:after="120" w:before="0" w:line="360"/>
        <w:jc w:val="both"/>
      </w:pPr>
      <w:r>
        <w:rPr>
          <w:rFonts w:ascii="Times New Roman" w:cs="David" w:eastAsia="David" w:hAnsi="Times New Roman"/>
          <w:i w:val="false"/>
          <w:iCs w:val="false"/>
          <w:sz w:val="24"/>
          <w:szCs w:val="24"/>
          <w:rt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sz w:val="24"/>
          <w:szCs w:val="24"/>
          <w:rt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sz w:val="24"/>
          <w:szCs w:val="24"/>
          <w:rt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sz w:val="24"/>
          <w:szCs w:val="24"/>
          <w:rt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sz w:val="24"/>
          <w:szCs w:val="24"/>
          <w:rt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3.3 הפואטיקה של המשל</w:t>
      </w:r>
    </w:p>
    <w:p>
      <w:pPr>
        <w:bidi/>
        <w:spacing w:after="120" w:before="0" w:line="360"/>
        <w:jc w:val="both"/>
      </w:pPr>
      <w:r>
        <w:rPr>
          <w:rFonts w:ascii="Times New Roman" w:cs="David" w:eastAsia="David" w:hAnsi="Times New Roman"/>
          <w:i w:val="false"/>
          <w:iCs w:val="false"/>
          <w:sz w:val="24"/>
          <w:szCs w:val="24"/>
          <w:rt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sz w:val="24"/>
          <w:szCs w:val="24"/>
          <w:rt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sz w:val="24"/>
          <w:szCs w:val="24"/>
          <w:rt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sz w:val="24"/>
          <w:szCs w:val="24"/>
          <w:rt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sz w:val="24"/>
          <w:szCs w:val="24"/>
          <w:rt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4.2 השיבוצים</w:t>
      </w:r>
    </w:p>
    <w:p>
      <w:pPr>
        <w:bidi/>
        <w:spacing w:after="120" w:before="0" w:line="360"/>
        <w:jc w:val="both"/>
      </w:pPr>
      <w:r>
        <w:rPr>
          <w:rFonts w:ascii="Times New Roman" w:cs="David" w:eastAsia="David" w:hAnsi="Times New Roman"/>
          <w:i w:val="false"/>
          <w:iCs w:val="false"/>
          <w:sz w:val="24"/>
          <w:szCs w:val="24"/>
          <w:rt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sz w:val="24"/>
          <w:szCs w:val="24"/>
          <w:rt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sz w:val="24"/>
          <w:szCs w:val="24"/>
          <w:rt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sz w:val="24"/>
          <w:szCs w:val="24"/>
          <w:rt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sz w:val="24"/>
          <w:szCs w:val="24"/>
          <w:rt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4.3 הפואטיקה של המשל</w:t>
      </w:r>
    </w:p>
    <w:p>
      <w:pPr>
        <w:bidi/>
        <w:spacing w:after="120" w:before="0" w:line="360"/>
        <w:jc w:val="both"/>
      </w:pPr>
      <w:r>
        <w:rPr>
          <w:rFonts w:ascii="Times New Roman" w:cs="David" w:eastAsia="David" w:hAnsi="Times New Roman"/>
          <w:i w:val="false"/>
          <w:iCs w:val="false"/>
          <w:sz w:val="24"/>
          <w:szCs w:val="24"/>
          <w:rt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sz w:val="24"/>
          <w:szCs w:val="24"/>
          <w:rt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sz w:val="24"/>
          <w:szCs w:val="24"/>
          <w:rt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sz w:val="24"/>
          <w:szCs w:val="24"/>
          <w:rt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5.2 השיבוצים</w:t>
      </w:r>
    </w:p>
    <w:p>
      <w:pPr>
        <w:bidi/>
        <w:spacing w:after="120" w:before="0" w:line="360"/>
        <w:jc w:val="both"/>
      </w:pPr>
      <w:r>
        <w:rPr>
          <w:rFonts w:ascii="Times New Roman" w:cs="David" w:eastAsia="David" w:hAnsi="Times New Roman"/>
          <w:i w:val="false"/>
          <w:iCs w:val="false"/>
          <w:sz w:val="24"/>
          <w:szCs w:val="24"/>
          <w:rt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sz w:val="24"/>
          <w:szCs w:val="24"/>
          <w:rt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sz w:val="24"/>
          <w:szCs w:val="24"/>
          <w:rt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sz w:val="24"/>
          <w:szCs w:val="24"/>
          <w:rt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sz w:val="24"/>
          <w:szCs w:val="24"/>
          <w:rt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5.3 הפואטיקה של המשל</w:t>
      </w:r>
    </w:p>
    <w:p>
      <w:pPr>
        <w:bidi/>
        <w:spacing w:after="120" w:before="0" w:line="360"/>
        <w:jc w:val="both"/>
      </w:pPr>
      <w:r>
        <w:rPr>
          <w:rFonts w:ascii="Times New Roman" w:cs="David" w:eastAsia="David" w:hAnsi="Times New Roman"/>
          <w:i w:val="false"/>
          <w:iCs w:val="false"/>
          <w:sz w:val="24"/>
          <w:szCs w:val="24"/>
          <w:rt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sz w:val="24"/>
          <w:szCs w:val="24"/>
          <w:rt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sz w:val="24"/>
          <w:szCs w:val="24"/>
          <w:rt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sz w:val="24"/>
          <w:szCs w:val="24"/>
          <w:rt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6: סיכום ומסקנות</w:t>
      </w:r>
    </w:p>
    <w:p>
      <w:pPr>
        <w:bidi/>
        <w:spacing w:after="120" w:before="0" w:line="360"/>
        <w:jc w:val="both"/>
      </w:pPr>
      <w:r>
        <w:rPr>
          <w:rFonts w:ascii="Times New Roman" w:cs="David" w:eastAsia="David" w:hAnsi="Times New Roman"/>
          <w:i w:val="false"/>
          <w:iCs w:val="false"/>
          <w:sz w:val="24"/>
          <w:szCs w:val="24"/>
          <w:rtl/>
        </w:rPr>
        <w:t xml:space="preserve">העבודה שאלה מהי התכונה שהחמור מייצג במשליו של ברכיה הנקדן, וכיצד נבנה הקשר בין המשל לנמשל. לשלושת המשלים שלושה חרוזים פותחים שונים: זלזול בקטן, גאווה בלי חוכמה, קנאה. אבל בשלושתם החמור עושה אותו הדבר: הוא מנסה להיות מה שאינו. שליט שאינו חושש מצרעה, אריה, כלב חיק. בשלושתם הכישלון בא מן הגוף, מן האוזן שאי אפשר לסתום, מן האוזניים שמציצות מעור האריה, מן הגוף הכבד שנופל על האדון. ובשלושתם הסוף הוא חזרה למקום: עבדות, משא כפול, אבוס.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sz w:val="24"/>
          <w:szCs w:val="24"/>
          <w:rt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sz w:val="24"/>
          <w:szCs w:val="24"/>
          <w:rtl/>
        </w:rPr>
        <w:t xml:space="preserve">העבודה העלתה גם ממצא שלא צפיתי בתחילתה. במשל מז ובמשל יד מסתתר מתחת לנמשל החברתי רובד תיאולוגי: האדון מדבר בלשון הנביאים, החמור "הולך בקרי" ו"לוקח כפליים", ובני הבית מכים אותו במילים שנאמרו לשטן על איוב.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sz w:val="24"/>
          <w:szCs w:val="24"/>
          <w:rtl/>
        </w:rPr>
        <w:t xml:space="preserve">ממצא נוסף נוגע לאוזן. בשלושת המשלים האוזן של החמור היא מרכז: צרעה נכנסת בה, היא מציצה מעור האריה, והחמור מלקק את אדוניו "סביב אזניו". והאריה אומר לחמור "האזן". החמור, שסימנו הגופני הוא האוזן הגדולה, הוא בעל החיים שאינו שומע.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sz w:val="24"/>
          <w:szCs w:val="24"/>
          <w:rt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w:t>
      </w:r>
    </w:p>
    <w:p>
      <w:pPr>
        <w:bidi/>
        <w:spacing w:after="120" w:before="0" w:line="360"/>
        <w:jc w:val="both"/>
      </w:pPr>
      <w:r>
        <w:rPr>
          <w:rFonts w:ascii="Times New Roman" w:cs="David" w:eastAsia="David" w:hAnsi="Times New Roman"/>
          <w:i w:val="false"/>
          <w:iCs w:val="false"/>
          <w:sz w:val="24"/>
          <w:szCs w:val="24"/>
          <w:rtl/>
        </w:rPr>
        <w:t xml:space="preserve">העבודה מוגבלת בכמה מובנים, וכל אחד מהם פותח כיוון להמשך. נותחו שלושה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בשני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ביבליוגרפיה</w:t>
      </w:r>
    </w:p>
    <w:p>
      <w:pPr>
        <w:keepNext/>
        <w:bidi/>
        <w:spacing w:after="120" w:before="240" w:line="360"/>
        <w:jc w:val="start"/>
      </w:pPr>
      <w:r>
        <w:rPr>
          <w:rFonts w:ascii="Times New Roman" w:cs="David" w:eastAsia="David" w:hAnsi="Times New Roman"/>
          <w:b/>
          <w:bCs/>
          <w:i w:val="false"/>
          <w:iCs w:val="false"/>
          <w:sz w:val="26"/>
          <w:szCs w:val="26"/>
          <w:rtl/>
        </w:rPr>
        <w:t xml:space="preserve">מקורות ראשוניים</w:t>
      </w:r>
    </w:p>
    <w:p>
      <w:pPr>
        <w:bidi/>
        <w:spacing w:after="160" w:before="0" w:line="276"/>
        <w:ind w:start="709" w:hanging="709"/>
        <w:jc w:val="both"/>
      </w:pPr>
      <w:r>
        <w:rPr>
          <w:rFonts w:ascii="Times New Roman" w:cs="David" w:eastAsia="David" w:hAnsi="Times New Roman"/>
          <w:i w:val="false"/>
          <w:iCs w:val="false"/>
          <w:sz w:val="24"/>
          <w:szCs w:val="24"/>
          <w:rtl/>
        </w:rPr>
        <w:t xml:space="preserve">איסופוס, </w:t>
      </w:r>
      <w:r>
        <w:rPr>
          <w:rFonts w:ascii="Times New Roman" w:cs="David" w:eastAsia="David" w:hAnsi="Times New Roman"/>
          <w:i/>
          <w:iCs/>
          <w:sz w:val="24"/>
          <w:szCs w:val="24"/>
          <w:rtl/>
        </w:rPr>
        <w:t xml:space="preserve">משלי איסופוס</w:t>
      </w:r>
      <w:r>
        <w:rPr>
          <w:rFonts w:ascii="Times New Roman" w:cs="David" w:eastAsia="David" w:hAnsi="Times New Roman"/>
          <w:i w:val="false"/>
          <w:iCs w:val="false"/>
          <w:sz w:val="24"/>
          <w:szCs w:val="24"/>
          <w:rt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sz w:val="24"/>
          <w:szCs w:val="24"/>
          <w:rtl/>
        </w:rPr>
        <w:t xml:space="preserve">אלף לילה ולילה</w:t>
      </w:r>
      <w:r>
        <w:rPr>
          <w:rFonts w:ascii="Times New Roman" w:cs="David" w:eastAsia="David" w:hAnsi="Times New Roman"/>
          <w:i w:val="false"/>
          <w:iCs w:val="false"/>
          <w:sz w:val="24"/>
          <w:szCs w:val="24"/>
          <w:rt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sz w:val="24"/>
          <w:szCs w:val="24"/>
          <w:rtl/>
        </w:rPr>
        <w:t xml:space="preserve">ברכיה הנקדן, </w:t>
      </w:r>
      <w:r>
        <w:rPr>
          <w:rFonts w:ascii="Times New Roman" w:cs="David" w:eastAsia="David" w:hAnsi="Times New Roman"/>
          <w:i/>
          <w:iCs/>
          <w:sz w:val="24"/>
          <w:szCs w:val="24"/>
          <w:rtl/>
        </w:rPr>
        <w:t xml:space="preserve">משלי שועלים</w:t>
      </w:r>
      <w:r>
        <w:rPr>
          <w:rFonts w:ascii="Times New Roman" w:cs="David" w:eastAsia="David" w:hAnsi="Times New Roman"/>
          <w:i w:val="false"/>
          <w:iCs w:val="false"/>
          <w:sz w:val="24"/>
          <w:szCs w:val="24"/>
          <w:rt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sz w:val="24"/>
          <w:szCs w:val="24"/>
          <w:rtl/>
        </w:rPr>
        <w:t xml:space="preserve">משנה</w:t>
      </w:r>
      <w:r>
        <w:rPr>
          <w:rFonts w:ascii="Times New Roman" w:cs="David" w:eastAsia="David" w:hAnsi="Times New Roman"/>
          <w:i w:val="false"/>
          <w:iCs w:val="false"/>
          <w:sz w:val="24"/>
          <w:szCs w:val="24"/>
          <w:rtl/>
        </w:rPr>
        <w:t xml:space="preserve">, ששה סדרי משנה, מהדורת חנוך אלבק, ירושלים ותל אביב: מוסד ביאליק ודביר, תשי"ב-תשי"ט.</w:t>
      </w:r>
    </w:p>
    <w:p>
      <w:pPr>
        <w:bidi/>
        <w:spacing w:after="160" w:before="0" w:line="276"/>
        <w:ind w:start="709" w:hanging="709"/>
        <w:jc w:val="both"/>
      </w:pPr>
      <w:r>
        <w:rPr>
          <w:rFonts w:ascii="Times New Roman" w:cs="David" w:eastAsia="David" w:hAnsi="Times New Roman"/>
          <w:i/>
          <w:iCs/>
          <w:sz w:val="24"/>
          <w:szCs w:val="24"/>
          <w:rtl/>
        </w:rPr>
        <w:t xml:space="preserve">פרקי דרבי אליעזר</w:t>
      </w:r>
      <w:r>
        <w:rPr>
          <w:rFonts w:ascii="Times New Roman" w:cs="David" w:eastAsia="David" w:hAnsi="Times New Roman"/>
          <w:i w:val="false"/>
          <w:iCs w:val="false"/>
          <w:sz w:val="24"/>
          <w:szCs w:val="24"/>
          <w:rtl/>
        </w:rPr>
        <w:t xml:space="preserve">, ורשה: תרי"ב [דפוס צילום].</w:t>
      </w:r>
    </w:p>
    <w:p>
      <w:pPr>
        <w:bidi/>
        <w:spacing w:after="160" w:before="0" w:line="276"/>
        <w:ind w:start="709" w:hanging="709"/>
        <w:jc w:val="both"/>
      </w:pPr>
      <w:r>
        <w:rPr>
          <w:rFonts w:ascii="Times New Roman" w:cs="David" w:eastAsia="David" w:hAnsi="Times New Roman"/>
          <w:i/>
          <w:iCs/>
          <w:sz w:val="24"/>
          <w:szCs w:val="24"/>
          <w:rtl/>
        </w:rPr>
        <w:t xml:space="preserve">תלמוד בבלי</w:t>
      </w:r>
      <w:r>
        <w:rPr>
          <w:rFonts w:ascii="Times New Roman" w:cs="David" w:eastAsia="David" w:hAnsi="Times New Roman"/>
          <w:i w:val="false"/>
          <w:iCs w:val="false"/>
          <w:sz w:val="24"/>
          <w:szCs w:val="24"/>
          <w:rtl/>
        </w:rPr>
        <w:t xml:space="preserve">, דפוס וילנא.</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Berechiah ha-Nakdan, </w:t>
      </w:r>
      <w:r>
        <w:rPr>
          <w:rFonts w:ascii="Times New Roman" w:cs="David" w:eastAsia="David" w:hAnsi="Times New Roman"/>
          <w:i/>
          <w:iCs/>
          <w:sz w:val="24"/>
          <w:szCs w:val="24"/>
          <w:rtl w:val="false"/>
        </w:rPr>
        <w:t xml:space="preserve">Fables of a Jewish Aesop</w:t>
      </w:r>
      <w:r>
        <w:rPr>
          <w:rFonts w:ascii="Times New Roman" w:cs="David" w:eastAsia="David" w:hAnsi="Times New Roman"/>
          <w:i w:val="false"/>
          <w:iCs w:val="false"/>
          <w:sz w:val="24"/>
          <w:szCs w:val="24"/>
          <w:rtl w:val="false"/>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Derenbourg, Joseph (ed.), </w:t>
      </w:r>
      <w:r>
        <w:rPr>
          <w:rFonts w:ascii="Times New Roman" w:cs="David" w:eastAsia="David" w:hAnsi="Times New Roman"/>
          <w:i/>
          <w:iCs/>
          <w:sz w:val="24"/>
          <w:szCs w:val="24"/>
          <w:rtl w:val="false"/>
        </w:rPr>
        <w:t xml:space="preserve">Deux versions hébraïques du livre de Kalîlâh et Dimnâh</w:t>
      </w:r>
      <w:r>
        <w:rPr>
          <w:rFonts w:ascii="Times New Roman" w:cs="David" w:eastAsia="David" w:hAnsi="Times New Roman"/>
          <w:i w:val="false"/>
          <w:iCs w:val="false"/>
          <w:sz w:val="24"/>
          <w:szCs w:val="24"/>
          <w:rtl w:val="false"/>
        </w:rPr>
        <w:t xml:space="preserve">, Paris: F. Vieweg, 1881.</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Ibn Sahula, Isaac, </w:t>
      </w:r>
      <w:r>
        <w:rPr>
          <w:rFonts w:ascii="Times New Roman" w:cs="David" w:eastAsia="David" w:hAnsi="Times New Roman"/>
          <w:i/>
          <w:iCs/>
          <w:sz w:val="24"/>
          <w:szCs w:val="24"/>
          <w:rtl w:val="false"/>
        </w:rPr>
        <w:t xml:space="preserve">Meshal Haqadmoni: Fables from the Distant Past</w:t>
      </w:r>
      <w:r>
        <w:rPr>
          <w:rFonts w:ascii="Times New Roman" w:cs="David" w:eastAsia="David" w:hAnsi="Times New Roman"/>
          <w:i w:val="false"/>
          <w:iCs w:val="false"/>
          <w:sz w:val="24"/>
          <w:szCs w:val="24"/>
          <w:rtl w:val="false"/>
        </w:rPr>
        <w:t xml:space="preserve">, ed. and trans. Raphael Loewe, 2 vols., Oxford: Littman Library of Jewish Civilization, 2004.</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Marie de France, </w:t>
      </w:r>
      <w:r>
        <w:rPr>
          <w:rFonts w:ascii="Times New Roman" w:cs="David" w:eastAsia="David" w:hAnsi="Times New Roman"/>
          <w:i/>
          <w:iCs/>
          <w:sz w:val="24"/>
          <w:szCs w:val="24"/>
          <w:rtl w:val="false"/>
        </w:rPr>
        <w:t xml:space="preserve">Fables</w:t>
      </w:r>
      <w:r>
        <w:rPr>
          <w:rFonts w:ascii="Times New Roman" w:cs="David" w:eastAsia="David" w:hAnsi="Times New Roman"/>
          <w:i w:val="false"/>
          <w:iCs w:val="false"/>
          <w:sz w:val="24"/>
          <w:szCs w:val="24"/>
          <w:rtl w:val="false"/>
        </w:rPr>
        <w:t xml:space="preserve">, ed. and trans. Harriet Spiegel, Toronto: University of Toronto Press, 1987.</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Perry, Ben Edwin, </w:t>
      </w:r>
      <w:r>
        <w:rPr>
          <w:rFonts w:ascii="Times New Roman" w:cs="David" w:eastAsia="David" w:hAnsi="Times New Roman"/>
          <w:i/>
          <w:iCs/>
          <w:sz w:val="24"/>
          <w:szCs w:val="24"/>
          <w:rtl w:val="false"/>
        </w:rPr>
        <w:t xml:space="preserve">Aesopica</w:t>
      </w:r>
      <w:r>
        <w:rPr>
          <w:rFonts w:ascii="Times New Roman" w:cs="David" w:eastAsia="David" w:hAnsi="Times New Roman"/>
          <w:i w:val="false"/>
          <w:iCs w:val="false"/>
          <w:sz w:val="24"/>
          <w:szCs w:val="24"/>
          <w:rtl w:val="false"/>
        </w:rPr>
        <w:t xml:space="preserve">, vol. 1, Urbana: University of Illinois Press, 1952.</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Perry, Ben Edwin (ed. and trans.), </w:t>
      </w:r>
      <w:r>
        <w:rPr>
          <w:rFonts w:ascii="Times New Roman" w:cs="David" w:eastAsia="David" w:hAnsi="Times New Roman"/>
          <w:i/>
          <w:iCs/>
          <w:sz w:val="24"/>
          <w:szCs w:val="24"/>
          <w:rtl w:val="false"/>
        </w:rPr>
        <w:t xml:space="preserve">Babrius and Phaedrus</w:t>
      </w:r>
      <w:r>
        <w:rPr>
          <w:rFonts w:ascii="Times New Roman" w:cs="David" w:eastAsia="David" w:hAnsi="Times New Roman"/>
          <w:i w:val="false"/>
          <w:iCs w:val="false"/>
          <w:sz w:val="24"/>
          <w:szCs w:val="24"/>
          <w:rtl w:val="false"/>
        </w:rPr>
        <w:t xml:space="preserve">, Loeb Classical Library, Cambridge, MA: Harvard University Press, 1965.</w:t>
      </w:r>
    </w:p>
    <w:p>
      <w:pPr>
        <w:keepNext/>
        <w:bidi/>
        <w:spacing w:after="120" w:before="240" w:line="360"/>
        <w:jc w:val="start"/>
      </w:pPr>
      <w:r>
        <w:rPr>
          <w:rFonts w:ascii="Times New Roman" w:cs="David" w:eastAsia="David" w:hAnsi="Times New Roman"/>
          <w:b/>
          <w:bCs/>
          <w:i w:val="false"/>
          <w:iCs w:val="false"/>
          <w:sz w:val="26"/>
          <w:szCs w:val="26"/>
          <w:rtl/>
        </w:rPr>
        <w:t xml:space="preserve">מחקרים</w:t>
      </w:r>
    </w:p>
    <w:p>
      <w:pPr>
        <w:bidi/>
        <w:spacing w:after="160" w:before="0" w:line="276"/>
        <w:ind w:start="709" w:hanging="709"/>
        <w:jc w:val="both"/>
      </w:pPr>
      <w:r>
        <w:rPr>
          <w:rFonts w:ascii="Times New Roman" w:cs="David" w:eastAsia="David" w:hAnsi="Times New Roman"/>
          <w:i w:val="false"/>
          <w:iCs w:val="false"/>
          <w:sz w:val="24"/>
          <w:szCs w:val="24"/>
          <w:rtl/>
        </w:rPr>
        <w:t xml:space="preserve">יסיף, עלי, </w:t>
      </w:r>
      <w:r>
        <w:rPr>
          <w:rFonts w:ascii="Times New Roman" w:cs="David" w:eastAsia="David" w:hAnsi="Times New Roman"/>
          <w:i/>
          <w:iCs/>
          <w:sz w:val="24"/>
          <w:szCs w:val="24"/>
          <w:rtl/>
        </w:rPr>
        <w:t xml:space="preserve">סיפור העם העברי: תולדותיו, סוגיו ומשמעותו</w:t>
      </w:r>
      <w:r>
        <w:rPr>
          <w:rFonts w:ascii="Times New Roman" w:cs="David" w:eastAsia="David" w:hAnsi="Times New Roman"/>
          <w:i w:val="false"/>
          <w:iCs w:val="false"/>
          <w:sz w:val="24"/>
          <w:szCs w:val="24"/>
          <w:rt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sz w:val="24"/>
          <w:szCs w:val="24"/>
          <w:rtl/>
        </w:rPr>
        <w:t xml:space="preserve">פגיס, דן, </w:t>
      </w:r>
      <w:r>
        <w:rPr>
          <w:rFonts w:ascii="Times New Roman" w:cs="David" w:eastAsia="David" w:hAnsi="Times New Roman"/>
          <w:i/>
          <w:iCs/>
          <w:sz w:val="24"/>
          <w:szCs w:val="24"/>
          <w:rtl/>
        </w:rPr>
        <w:t xml:space="preserve">חידוש ומסורת בשירת החול העברית: ספרד ואיטליה</w:t>
      </w:r>
      <w:r>
        <w:rPr>
          <w:rFonts w:ascii="Times New Roman" w:cs="David" w:eastAsia="David" w:hAnsi="Times New Roman"/>
          <w:i w:val="false"/>
          <w:iCs w:val="false"/>
          <w:sz w:val="24"/>
          <w:szCs w:val="24"/>
          <w:rtl/>
        </w:rPr>
        <w:t xml:space="preserve">, ירושלים: כתר, 1976.</w:t>
      </w:r>
    </w:p>
    <w:p>
      <w:pPr>
        <w:bidi/>
        <w:spacing w:after="160" w:before="0" w:line="276"/>
        <w:ind w:start="709" w:hanging="709"/>
        <w:jc w:val="both"/>
      </w:pPr>
      <w:r>
        <w:rPr>
          <w:rFonts w:ascii="Times New Roman" w:cs="David" w:eastAsia="David" w:hAnsi="Times New Roman"/>
          <w:i w:val="false"/>
          <w:iCs w:val="false"/>
          <w:sz w:val="24"/>
          <w:szCs w:val="24"/>
          <w:rtl/>
        </w:rPr>
        <w:t xml:space="preserve">פליקס, יהודה, </w:t>
      </w:r>
      <w:r>
        <w:rPr>
          <w:rFonts w:ascii="Times New Roman" w:cs="David" w:eastAsia="David" w:hAnsi="Times New Roman"/>
          <w:i/>
          <w:iCs/>
          <w:sz w:val="24"/>
          <w:szCs w:val="24"/>
          <w:rtl/>
        </w:rPr>
        <w:t xml:space="preserve">החי של התנ"ך</w:t>
      </w:r>
      <w:r>
        <w:rPr>
          <w:rFonts w:ascii="Times New Roman" w:cs="David" w:eastAsia="David" w:hAnsi="Times New Roman"/>
          <w:i w:val="false"/>
          <w:iCs w:val="false"/>
          <w:sz w:val="24"/>
          <w:szCs w:val="24"/>
          <w:rtl/>
        </w:rPr>
        <w:t xml:space="preserve">, תל אביב: סיני, תשי"ד.</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Jacobs, Joseph, </w:t>
      </w:r>
      <w:r>
        <w:rPr>
          <w:rFonts w:ascii="Times New Roman" w:cs="David" w:eastAsia="David" w:hAnsi="Times New Roman"/>
          <w:i/>
          <w:iCs/>
          <w:sz w:val="24"/>
          <w:szCs w:val="24"/>
          <w:rtl w:val="false"/>
        </w:rPr>
        <w:t xml:space="preserve">The Fables of Aesop as First Printed by William Caxton in 1484</w:t>
      </w:r>
      <w:r>
        <w:rPr>
          <w:rFonts w:ascii="Times New Roman" w:cs="David" w:eastAsia="David" w:hAnsi="Times New Roman"/>
          <w:i w:val="false"/>
          <w:iCs w:val="false"/>
          <w:sz w:val="24"/>
          <w:szCs w:val="24"/>
          <w:rtl w:val="false"/>
        </w:rPr>
        <w:t xml:space="preserve">, vol. 1: </w:t>
      </w:r>
      <w:r>
        <w:rPr>
          <w:rFonts w:ascii="Times New Roman" w:cs="David" w:eastAsia="David" w:hAnsi="Times New Roman"/>
          <w:i/>
          <w:iCs/>
          <w:sz w:val="24"/>
          <w:szCs w:val="24"/>
          <w:rtl w:val="false"/>
        </w:rPr>
        <w:t xml:space="preserve">History of the Aesopic Fable</w:t>
      </w:r>
      <w:r>
        <w:rPr>
          <w:rFonts w:ascii="Times New Roman" w:cs="David" w:eastAsia="David" w:hAnsi="Times New Roman"/>
          <w:i w:val="false"/>
          <w:iCs w:val="false"/>
          <w:sz w:val="24"/>
          <w:szCs w:val="24"/>
          <w:rtl w:val="false"/>
        </w:rPr>
        <w:t xml:space="preserve">, London: David Nutt, 1889.</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Rossel, Stine, Fiona Marshall, Joris Peters, Tom Pilgram, Matthew D. Adams, and David O'Connor, "Domestication of the Donkey: Timing, Processes, and Indicators," </w:t>
      </w:r>
      <w:r>
        <w:rPr>
          <w:rFonts w:ascii="Times New Roman" w:cs="David" w:eastAsia="David" w:hAnsi="Times New Roman"/>
          <w:i/>
          <w:iCs/>
          <w:sz w:val="24"/>
          <w:szCs w:val="24"/>
          <w:rtl w:val="false"/>
        </w:rPr>
        <w:t xml:space="preserve">Proceedings of the National Academy of Sciences</w:t>
      </w:r>
      <w:r>
        <w:rPr>
          <w:rFonts w:ascii="Times New Roman" w:cs="David" w:eastAsia="David" w:hAnsi="Times New Roman"/>
          <w:i w:val="false"/>
          <w:iCs w:val="false"/>
          <w:sz w:val="24"/>
          <w:szCs w:val="24"/>
          <w:rtl w:val="false"/>
        </w:rPr>
        <w:t xml:space="preserve"> 105, no. 10 (2008): 3715-3720.</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Schwarzbaum, Haim, </w:t>
      </w:r>
      <w:r>
        <w:rPr>
          <w:rFonts w:ascii="Times New Roman" w:cs="David" w:eastAsia="David" w:hAnsi="Times New Roman"/>
          <w:i/>
          <w:iCs/>
          <w:sz w:val="24"/>
          <w:szCs w:val="24"/>
          <w:rtl w:val="false"/>
        </w:rPr>
        <w:t xml:space="preserve">The Mishle Shu'alim (Fox Fables) of Rabbi Berechiah ha-Nakdan: A Study in Comparative Folklore and Fable Lore</w:t>
      </w:r>
      <w:r>
        <w:rPr>
          <w:rFonts w:ascii="Times New Roman" w:cs="David" w:eastAsia="David" w:hAnsi="Times New Roman"/>
          <w:i w:val="false"/>
          <w:iCs w:val="false"/>
          <w:sz w:val="24"/>
          <w:szCs w:val="24"/>
          <w:rtl w:val="false"/>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Thompson, Stith, </w:t>
      </w:r>
      <w:r>
        <w:rPr>
          <w:rFonts w:ascii="Times New Roman" w:cs="David" w:eastAsia="David" w:hAnsi="Times New Roman"/>
          <w:i/>
          <w:iCs/>
          <w:sz w:val="24"/>
          <w:szCs w:val="24"/>
          <w:rtl w:val="false"/>
        </w:rPr>
        <w:t xml:space="preserve">Motif-Index of Folk-Literature</w:t>
      </w:r>
      <w:r>
        <w:rPr>
          <w:rFonts w:ascii="Times New Roman" w:cs="David" w:eastAsia="David" w:hAnsi="Times New Roman"/>
          <w:i w:val="false"/>
          <w:iCs w:val="false"/>
          <w:sz w:val="24"/>
          <w:szCs w:val="24"/>
          <w:rtl w:val="false"/>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Uther, Hans-Jörg, </w:t>
      </w:r>
      <w:r>
        <w:rPr>
          <w:rFonts w:ascii="Times New Roman" w:cs="David" w:eastAsia="David" w:hAnsi="Times New Roman"/>
          <w:i/>
          <w:iCs/>
          <w:sz w:val="24"/>
          <w:szCs w:val="24"/>
          <w:rtl w:val="false"/>
        </w:rPr>
        <w:t xml:space="preserve">The Types of International Folktales: A Classification and Bibliography</w:t>
      </w:r>
      <w:r>
        <w:rPr>
          <w:rFonts w:ascii="Times New Roman" w:cs="David" w:eastAsia="David" w:hAnsi="Times New Roman"/>
          <w:i w:val="false"/>
          <w:iCs w:val="false"/>
          <w:sz w:val="24"/>
          <w:szCs w:val="24"/>
          <w:rtl w:val="false"/>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Way, Kenneth C., </w:t>
      </w:r>
      <w:r>
        <w:rPr>
          <w:rFonts w:ascii="Times New Roman" w:cs="David" w:eastAsia="David" w:hAnsi="Times New Roman"/>
          <w:i/>
          <w:iCs/>
          <w:sz w:val="24"/>
          <w:szCs w:val="24"/>
          <w:rtl w:val="false"/>
        </w:rPr>
        <w:t xml:space="preserve">Donkeys in the Biblical World: Ceremony and Symbol</w:t>
      </w:r>
      <w:r>
        <w:rPr>
          <w:rFonts w:ascii="Times New Roman" w:cs="David" w:eastAsia="David" w:hAnsi="Times New Roman"/>
          <w:i w:val="false"/>
          <w:iCs w:val="false"/>
          <w:sz w:val="24"/>
          <w:szCs w:val="24"/>
          <w:rtl w:val="false"/>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Ziolkowski, Jan M., </w:t>
      </w:r>
      <w:r>
        <w:rPr>
          <w:rFonts w:ascii="Times New Roman" w:cs="David" w:eastAsia="David" w:hAnsi="Times New Roman"/>
          <w:i/>
          <w:iCs/>
          <w:sz w:val="24"/>
          <w:szCs w:val="24"/>
          <w:rtl w:val="false"/>
        </w:rPr>
        <w:t xml:space="preserve">Talking Animals: Medieval Latin Beast Poetry, 750-1150</w:t>
      </w:r>
      <w:r>
        <w:rPr>
          <w:rFonts w:ascii="Times New Roman" w:cs="David" w:eastAsia="David" w:hAnsi="Times New Roman"/>
          <w:i w:val="false"/>
          <w:iCs w:val="false"/>
          <w:sz w:val="24"/>
          <w:szCs w:val="24"/>
          <w:rtl w:val="false"/>
        </w:rPr>
        <w:t xml:space="preserve">, Philadelphia: University of Pennsylvania Press, 1993.</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sz w:val="24"/>
          <w:szCs w:val="24"/>
          <w:rt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sz w:val="24"/>
          <w:szCs w:val="24"/>
          <w:rt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sz w:val="24"/>
          <w:szCs w:val="24"/>
          <w:rt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sz w:val="24"/>
          <w:szCs w:val="24"/>
          <w:rt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sz w:val="24"/>
          <w:szCs w:val="24"/>
          <w:rt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sz w:val="24"/>
          <w:szCs w:val="24"/>
          <w:rt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sz w:val="24"/>
          <w:szCs w:val="24"/>
          <w:rt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sz w:val="24"/>
          <w:szCs w:val="24"/>
          <w:rt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sz w:val="24"/>
          <w:szCs w:val="24"/>
          <w:rtl/>
        </w:rPr>
        <w:t xml:space="preserve">וָאֶשָּׂא מְשָׁלִי וָאֹמַר: לִפְנֵי שֵׁבֶר אִישׁ דְּרָכָיו מְעַקֵּשׁ / לִפְנֵי כָבוֹד שִׁפְלוּת לוֹ לְמוֹקֵשׁ / נָא זְכֹר מִי מָצָא מְלוּכָה וְנִבָּא / כַּאֲשֶׁר שָׁב מִן הָאֲתוֹנוֹת לְבַקֵּשׁ.</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Stine Rossel et al., "Domestication of the Donkey: Timing, Processes, and Indicators," </w:t>
      </w:r>
      <w:r>
        <w:rPr>
          <w:rFonts w:ascii="Times New Roman" w:cs="David" w:eastAsia="David" w:hAnsi="Times New Roman"/>
          <w:i/>
          <w:iCs/>
          <w:sz w:val="20"/>
          <w:szCs w:val="20"/>
          <w:rtl w:val="false"/>
        </w:rPr>
        <w:t xml:space="preserve">Proceedings of the National Academy of Sciences</w:t>
      </w:r>
      <w:r>
        <w:rPr>
          <w:rFonts w:ascii="Times New Roman" w:cs="David" w:eastAsia="David" w:hAnsi="Times New Roman"/>
          <w:i w:val="false"/>
          <w:iCs w:val="false"/>
          <w:sz w:val="20"/>
          <w:szCs w:val="20"/>
          <w:rtl w:val="false"/>
        </w:rPr>
        <w:t xml:space="preserve"> 105, no. 10 (2008): 3715-3720.</w:t>
      </w:r>
    </w:p>
  </w:footnote>
  <w:footnote w:id="3">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Kenneth C. Way, </w:t>
      </w:r>
      <w:r>
        <w:rPr>
          <w:rFonts w:ascii="Times New Roman" w:cs="David" w:eastAsia="David" w:hAnsi="Times New Roman"/>
          <w:i/>
          <w:iCs/>
          <w:sz w:val="20"/>
          <w:szCs w:val="20"/>
          <w:rtl w:val="false"/>
        </w:rPr>
        <w:t xml:space="preserve">Donkeys in the Biblical World: Ceremony and Symbol</w:t>
      </w:r>
      <w:r>
        <w:rPr>
          <w:rFonts w:ascii="Times New Roman" w:cs="David" w:eastAsia="David" w:hAnsi="Times New Roman"/>
          <w:i w:val="false"/>
          <w:iCs w:val="false"/>
          <w:sz w:val="20"/>
          <w:szCs w:val="20"/>
          <w:rtl w:val="false"/>
        </w:rPr>
        <w:t xml:space="preserve">, Winona Lake: Eisenbrauns, 2011, pp. 1-6 [</w:t>
      </w:r>
      <w:r>
        <w:rPr>
          <w:rFonts w:ascii="Times New Roman" w:cs="David" w:eastAsia="David" w:hAnsi="Times New Roman"/>
          <w:i w:val="false"/>
          <w:iCs w:val="false"/>
          <w:sz w:val="20"/>
          <w:szCs w:val="20"/>
          <w:rtl/>
        </w:rPr>
        <w:t xml:space="preserve">לוודא עמודים].</w:t>
      </w:r>
    </w:p>
  </w:footnote>
  <w:footnote w:id="4">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יהודה פליקס, </w:t>
      </w:r>
      <w:r>
        <w:rPr>
          <w:rFonts w:ascii="Times New Roman" w:cs="David" w:eastAsia="David" w:hAnsi="Times New Roman"/>
          <w:i/>
          <w:iCs/>
          <w:sz w:val="20"/>
          <w:szCs w:val="20"/>
          <w:rtl/>
        </w:rPr>
        <w:t xml:space="preserve">החי של התנ"ך</w:t>
      </w:r>
      <w:r>
        <w:rPr>
          <w:rFonts w:ascii="Times New Roman" w:cs="David" w:eastAsia="David" w:hAnsi="Times New Roman"/>
          <w:i w:val="false"/>
          <w:iCs w:val="false"/>
          <w:sz w:val="20"/>
          <w:szCs w:val="20"/>
          <w:rtl/>
        </w:rPr>
        <w:t xml:space="preserve">, תל אביב: סיני, תשי"ד, בערכים "חמור" ו"פרא" [לוודא עמודים].</w:t>
      </w:r>
    </w:p>
  </w:footnote>
  <w:footnote w:id="5">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עלי יסיף, </w:t>
      </w:r>
      <w:r>
        <w:rPr>
          <w:rFonts w:ascii="Times New Roman" w:cs="David" w:eastAsia="David" w:hAnsi="Times New Roman"/>
          <w:i/>
          <w:iCs/>
          <w:sz w:val="20"/>
          <w:szCs w:val="20"/>
          <w:rtl/>
        </w:rPr>
        <w:t xml:space="preserve">סיפור העם העברי: תולדותיו, סוגיו ומשמעותו</w:t>
      </w:r>
      <w:r>
        <w:rPr>
          <w:rFonts w:ascii="Times New Roman" w:cs="David" w:eastAsia="David" w:hAnsi="Times New Roman"/>
          <w:i w:val="false"/>
          <w:iCs w:val="false"/>
          <w:sz w:val="20"/>
          <w:szCs w:val="20"/>
          <w:rtl/>
        </w:rPr>
        <w:t xml:space="preserve">, ירושלים: מוסד ביאליק, תשנ"ד, בפרק על ספרות חז"ל [לוודא עמודים].</w:t>
      </w:r>
    </w:p>
  </w:footnote>
  <w:footnote w:id="6">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Ben Edwin Perry, </w:t>
      </w:r>
      <w:r>
        <w:rPr>
          <w:rFonts w:ascii="Times New Roman" w:cs="David" w:eastAsia="David" w:hAnsi="Times New Roman"/>
          <w:i/>
          <w:iCs/>
          <w:sz w:val="20"/>
          <w:szCs w:val="20"/>
          <w:rtl w:val="false"/>
        </w:rPr>
        <w:t xml:space="preserve">Aesopica</w:t>
      </w:r>
      <w:r>
        <w:rPr>
          <w:rFonts w:ascii="Times New Roman" w:cs="David" w:eastAsia="David" w:hAnsi="Times New Roman"/>
          <w:i w:val="false"/>
          <w:iCs w:val="false"/>
          <w:sz w:val="20"/>
          <w:szCs w:val="20"/>
          <w:rtl w:val="false"/>
        </w:rPr>
        <w:t xml:space="preserve">, vol. 1, Urbana: University of Illinois Press, 1952; Ben Edwin Perry (ed. and trans.), </w:t>
      </w:r>
      <w:r>
        <w:rPr>
          <w:rFonts w:ascii="Times New Roman" w:cs="David" w:eastAsia="David" w:hAnsi="Times New Roman"/>
          <w:i/>
          <w:iCs/>
          <w:sz w:val="20"/>
          <w:szCs w:val="20"/>
          <w:rtl w:val="false"/>
        </w:rPr>
        <w:t xml:space="preserve">Babrius and Phaedrus</w:t>
      </w:r>
      <w:r>
        <w:rPr>
          <w:rFonts w:ascii="Times New Roman" w:cs="David" w:eastAsia="David" w:hAnsi="Times New Roman"/>
          <w:i w:val="false"/>
          <w:iCs w:val="false"/>
          <w:sz w:val="20"/>
          <w:szCs w:val="20"/>
          <w:rtl w:val="false"/>
        </w:rPr>
        <w:t xml:space="preserve">, Loeb Classical Library, Cambridge, MA: Harvard University Press, 1965. </w:t>
      </w:r>
      <w:r>
        <w:rPr>
          <w:rFonts w:ascii="Times New Roman" w:cs="David" w:eastAsia="David" w:hAnsi="Times New Roman"/>
          <w:i w:val="false"/>
          <w:iCs w:val="false"/>
          <w:sz w:val="20"/>
          <w:szCs w:val="20"/>
          <w:rtl/>
        </w:rPr>
        <w:t xml:space="preserve">תרגום עברי: איסופוס, </w:t>
      </w:r>
      <w:r>
        <w:rPr>
          <w:rFonts w:ascii="Times New Roman" w:cs="David" w:eastAsia="David" w:hAnsi="Times New Roman"/>
          <w:i/>
          <w:iCs/>
          <w:sz w:val="20"/>
          <w:szCs w:val="20"/>
          <w:rtl/>
        </w:rPr>
        <w:t xml:space="preserve">משלי איסופוס</w:t>
      </w:r>
      <w:r>
        <w:rPr>
          <w:rFonts w:ascii="Times New Roman" w:cs="David" w:eastAsia="David" w:hAnsi="Times New Roman"/>
          <w:i w:val="false"/>
          <w:iCs w:val="false"/>
          <w:sz w:val="20"/>
          <w:szCs w:val="20"/>
          <w:rtl/>
        </w:rPr>
        <w:t xml:space="preserve">, תרגם שלמה שפאן, ירושלים: מוסד ביאליק, תש"ך.</w:t>
      </w:r>
    </w:p>
  </w:footnote>
  <w:footnote w:id="7">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Joseph Jacobs, </w:t>
      </w:r>
      <w:r>
        <w:rPr>
          <w:rFonts w:ascii="Times New Roman" w:cs="David" w:eastAsia="David" w:hAnsi="Times New Roman"/>
          <w:i/>
          <w:iCs/>
          <w:sz w:val="20"/>
          <w:szCs w:val="20"/>
          <w:rtl w:val="false"/>
        </w:rPr>
        <w:t xml:space="preserve">The Fables of Aesop as First Printed by William Caxton in 1484</w:t>
      </w:r>
      <w:r>
        <w:rPr>
          <w:rFonts w:ascii="Times New Roman" w:cs="David" w:eastAsia="David" w:hAnsi="Times New Roman"/>
          <w:i w:val="false"/>
          <w:iCs w:val="false"/>
          <w:sz w:val="20"/>
          <w:szCs w:val="20"/>
          <w:rtl w:val="false"/>
        </w:rPr>
        <w:t xml:space="preserve">, vol. 1: </w:t>
      </w:r>
      <w:r>
        <w:rPr>
          <w:rFonts w:ascii="Times New Roman" w:cs="David" w:eastAsia="David" w:hAnsi="Times New Roman"/>
          <w:i/>
          <w:iCs/>
          <w:sz w:val="20"/>
          <w:szCs w:val="20"/>
          <w:rtl w:val="false"/>
        </w:rPr>
        <w:t xml:space="preserve">History of the Aesopic Fable</w:t>
      </w:r>
      <w:r>
        <w:rPr>
          <w:rFonts w:ascii="Times New Roman" w:cs="David" w:eastAsia="David" w:hAnsi="Times New Roman"/>
          <w:i w:val="false"/>
          <w:iCs w:val="false"/>
          <w:sz w:val="20"/>
          <w:szCs w:val="20"/>
          <w:rtl w:val="false"/>
        </w:rPr>
        <w:t xml:space="preserve">, London: David Nutt, 1889, pp. 168-178; Haim Schwarzbaum, </w:t>
      </w:r>
      <w:r>
        <w:rPr>
          <w:rFonts w:ascii="Times New Roman" w:cs="David" w:eastAsia="David" w:hAnsi="Times New Roman"/>
          <w:i/>
          <w:iCs/>
          <w:sz w:val="20"/>
          <w:szCs w:val="20"/>
          <w:rtl w:val="false"/>
        </w:rPr>
        <w:t xml:space="preserve">The Mishle Shu'alim (Fox Fables) of Rabbi Berechiah ha-Nakdan: A Study in Comparative Folklore and Fable Lore</w:t>
      </w:r>
      <w:r>
        <w:rPr>
          <w:rFonts w:ascii="Times New Roman" w:cs="David" w:eastAsia="David" w:hAnsi="Times New Roman"/>
          <w:i w:val="false"/>
          <w:iCs w:val="false"/>
          <w:sz w:val="20"/>
          <w:szCs w:val="20"/>
          <w:rtl w:val="false"/>
        </w:rPr>
        <w:t xml:space="preserve">, Kiron: Institute for Jewish and Arab Folklore Research, 1979, </w:t>
      </w:r>
      <w:r>
        <w:rPr>
          <w:rFonts w:ascii="Times New Roman" w:cs="David" w:eastAsia="David" w:hAnsi="Times New Roman"/>
          <w:i w:val="false"/>
          <w:iCs w:val="false"/>
          <w:sz w:val="20"/>
          <w:szCs w:val="20"/>
          <w:rtl/>
        </w:rPr>
        <w:t xml:space="preserve">בדיון על משלים יד ו-מז [לוודא עמודים].</w:t>
      </w:r>
    </w:p>
  </w:footnote>
  <w:footnote w:id="8">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Hans-Jörg Uther, </w:t>
      </w:r>
      <w:r>
        <w:rPr>
          <w:rFonts w:ascii="Times New Roman" w:cs="David" w:eastAsia="David" w:hAnsi="Times New Roman"/>
          <w:i/>
          <w:iCs/>
          <w:sz w:val="20"/>
          <w:szCs w:val="20"/>
          <w:rtl w:val="false"/>
        </w:rPr>
        <w:t xml:space="preserve">The Types of International Folktales: A Classification and Bibliography</w:t>
      </w:r>
      <w:r>
        <w:rPr>
          <w:rFonts w:ascii="Times New Roman" w:cs="David" w:eastAsia="David" w:hAnsi="Times New Roman"/>
          <w:i w:val="false"/>
          <w:iCs w:val="false"/>
          <w:sz w:val="20"/>
          <w:szCs w:val="20"/>
          <w:rtl w:val="false"/>
        </w:rPr>
        <w:t xml:space="preserve">, FF Communications 284-286, Helsinki: Academia Scientiarum Fennica, 2004, vol. 1, nos. 214, 214B.</w:t>
      </w:r>
    </w:p>
  </w:footnote>
  <w:footnote w:id="9">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Stith Thompson, </w:t>
      </w:r>
      <w:r>
        <w:rPr>
          <w:rFonts w:ascii="Times New Roman" w:cs="David" w:eastAsia="David" w:hAnsi="Times New Roman"/>
          <w:i/>
          <w:iCs/>
          <w:sz w:val="20"/>
          <w:szCs w:val="20"/>
          <w:rtl w:val="false"/>
        </w:rPr>
        <w:t xml:space="preserve">Motif-Index of Folk-Literature</w:t>
      </w:r>
      <w:r>
        <w:rPr>
          <w:rFonts w:ascii="Times New Roman" w:cs="David" w:eastAsia="David" w:hAnsi="Times New Roman"/>
          <w:i w:val="false"/>
          <w:iCs w:val="false"/>
          <w:sz w:val="20"/>
          <w:szCs w:val="20"/>
          <w:rtl w:val="false"/>
        </w:rPr>
        <w:t xml:space="preserve">, 6 vols., Bloomington: Indiana University Press, 1955-1958, motifs J951.1, J2413.1, L315 [</w:t>
      </w:r>
      <w:r>
        <w:rPr>
          <w:rFonts w:ascii="Times New Roman" w:cs="David" w:eastAsia="David" w:hAnsi="Times New Roman"/>
          <w:i w:val="false"/>
          <w:iCs w:val="false"/>
          <w:sz w:val="20"/>
          <w:szCs w:val="20"/>
          <w:rtl/>
        </w:rPr>
        <w:t xml:space="preserve">לוודא מספרים].</w:t>
      </w:r>
    </w:p>
  </w:footnote>
  <w:footnote w:id="10">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Joseph Derenbourg (ed.), </w:t>
      </w:r>
      <w:r>
        <w:rPr>
          <w:rFonts w:ascii="Times New Roman" w:cs="David" w:eastAsia="David" w:hAnsi="Times New Roman"/>
          <w:i/>
          <w:iCs/>
          <w:sz w:val="20"/>
          <w:szCs w:val="20"/>
          <w:rtl w:val="false"/>
        </w:rPr>
        <w:t xml:space="preserve">Deux versions hébraïques du livre de Kalîlâh et Dimnâh</w:t>
      </w:r>
      <w:r>
        <w:rPr>
          <w:rFonts w:ascii="Times New Roman" w:cs="David" w:eastAsia="David" w:hAnsi="Times New Roman"/>
          <w:i w:val="false"/>
          <w:iCs w:val="false"/>
          <w:sz w:val="20"/>
          <w:szCs w:val="20"/>
          <w:rtl w:val="false"/>
        </w:rPr>
        <w:t xml:space="preserve">, Paris: F. Vieweg, 1881, </w:t>
      </w:r>
      <w:r>
        <w:rPr>
          <w:rFonts w:ascii="Times New Roman" w:cs="David" w:eastAsia="David" w:hAnsi="Times New Roman"/>
          <w:i w:val="false"/>
          <w:iCs w:val="false"/>
          <w:sz w:val="20"/>
          <w:szCs w:val="20"/>
          <w:rtl/>
        </w:rPr>
        <w:t xml:space="preserve">בפרק "הקוף והצב" [לוודא מיקום].</w:t>
      </w:r>
    </w:p>
  </w:footnote>
  <w:footnote w:id="11">
    <w:p>
      <w:pPr>
        <w:bidi/>
        <w:spacing w:after="60" w:line="240"/>
        <w:jc w:val="both"/>
      </w:pPr>
      <w:r>
        <w:rPr>
          <w:rStyle w:val="FootnoteReference"/>
        </w:rPr>
        <w:footnoteRef/>
      </w:r>
      <w:r>
        <w:rPr>
          <w:rFonts w:ascii="Times New Roman" w:cs="David" w:eastAsia="David" w:hAnsi="Times New Roman"/>
          <w:i/>
          <w:iCs/>
          <w:sz w:val="20"/>
          <w:szCs w:val="20"/>
          <w:rtl/>
        </w:rPr>
        <w:t xml:space="preserve">אלף לילה ולילה</w:t>
      </w:r>
      <w:r>
        <w:rPr>
          <w:rFonts w:ascii="Times New Roman" w:cs="David" w:eastAsia="David" w:hAnsi="Times New Roman"/>
          <w:i w:val="false"/>
          <w:iCs w:val="false"/>
          <w:sz w:val="20"/>
          <w:szCs w:val="20"/>
          <w:rtl/>
        </w:rPr>
        <w:t xml:space="preserve">, תרגם מערבית יוסף יואל ריבלין, כרך א, תל אביב: קרית ספר, תש"ז, סיפור המסגרת.</w:t>
      </w:r>
    </w:p>
  </w:footnote>
  <w:footnote w:id="1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Isaac Ibn Sahula, </w:t>
      </w:r>
      <w:r>
        <w:rPr>
          <w:rFonts w:ascii="Times New Roman" w:cs="David" w:eastAsia="David" w:hAnsi="Times New Roman"/>
          <w:i/>
          <w:iCs/>
          <w:sz w:val="20"/>
          <w:szCs w:val="20"/>
          <w:rtl w:val="false"/>
        </w:rPr>
        <w:t xml:space="preserve">Meshal Haqadmoni: Fables from the Distant Past</w:t>
      </w:r>
      <w:r>
        <w:rPr>
          <w:rFonts w:ascii="Times New Roman" w:cs="David" w:eastAsia="David" w:hAnsi="Times New Roman"/>
          <w:i w:val="false"/>
          <w:iCs w:val="false"/>
          <w:sz w:val="20"/>
          <w:szCs w:val="20"/>
          <w:rtl w:val="false"/>
        </w:rPr>
        <w:t xml:space="preserve">, ed. and trans. Raphael Loewe, 2 vols., Oxford: Littman Library, 2004 [</w:t>
      </w:r>
      <w:r>
        <w:rPr>
          <w:rFonts w:ascii="Times New Roman" w:cs="David" w:eastAsia="David" w:hAnsi="Times New Roman"/>
          <w:i w:val="false"/>
          <w:iCs w:val="false"/>
          <w:sz w:val="20"/>
          <w:szCs w:val="20"/>
          <w:rtl/>
        </w:rPr>
        <w:t xml:space="preserve">לוודא במפתח המהדורה].</w:t>
      </w:r>
    </w:p>
  </w:footnote>
  <w:footnote w:id="13">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Marie de France, </w:t>
      </w:r>
      <w:r>
        <w:rPr>
          <w:rFonts w:ascii="Times New Roman" w:cs="David" w:eastAsia="David" w:hAnsi="Times New Roman"/>
          <w:i/>
          <w:iCs/>
          <w:sz w:val="20"/>
          <w:szCs w:val="20"/>
          <w:rtl w:val="false"/>
        </w:rPr>
        <w:t xml:space="preserve">Fables</w:t>
      </w:r>
      <w:r>
        <w:rPr>
          <w:rFonts w:ascii="Times New Roman" w:cs="David" w:eastAsia="David" w:hAnsi="Times New Roman"/>
          <w:i w:val="false"/>
          <w:iCs w:val="false"/>
          <w:sz w:val="20"/>
          <w:szCs w:val="20"/>
          <w:rtl w:val="false"/>
        </w:rPr>
        <w:t xml:space="preserve">, ed. and trans. Harriet Spiegel, Toronto: University of Toronto Press, 1987, no. 15 [</w:t>
      </w:r>
      <w:r>
        <w:rPr>
          <w:rFonts w:ascii="Times New Roman" w:cs="David" w:eastAsia="David" w:hAnsi="Times New Roman"/>
          <w:i w:val="false"/>
          <w:iCs w:val="false"/>
          <w:sz w:val="20"/>
          <w:szCs w:val="20"/>
          <w:rtl/>
        </w:rPr>
        <w:t xml:space="preserve">לוודא].</w:t>
      </w:r>
    </w:p>
  </w:footnote>
  <w:footnote w:id="14">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Jacobs, </w:t>
      </w:r>
      <w:r>
        <w:rPr>
          <w:rFonts w:ascii="Times New Roman" w:cs="David" w:eastAsia="David" w:hAnsi="Times New Roman"/>
          <w:i/>
          <w:iCs/>
          <w:sz w:val="20"/>
          <w:szCs w:val="20"/>
          <w:rtl w:val="false"/>
        </w:rPr>
        <w:t xml:space="preserve">Fables of Aesop</w:t>
      </w:r>
      <w:r>
        <w:rPr>
          <w:rFonts w:ascii="Times New Roman" w:cs="David" w:eastAsia="David" w:hAnsi="Times New Roman"/>
          <w:i w:val="false"/>
          <w:iCs w:val="false"/>
          <w:sz w:val="20"/>
          <w:szCs w:val="20"/>
          <w:rtl w:val="false"/>
        </w:rPr>
        <w:t xml:space="preserve">, vol. 1, pp. 168-178;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val="false"/>
        </w:rPr>
        <w:t xml:space="preserve">, Introduction.</w:t>
      </w:r>
    </w:p>
  </w:footnote>
  <w:footnote w:id="15">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Hadas, </w:t>
      </w:r>
      <w:r>
        <w:rPr>
          <w:rFonts w:ascii="Times New Roman" w:cs="David" w:eastAsia="David" w:hAnsi="Times New Roman"/>
          <w:i/>
          <w:iCs/>
          <w:sz w:val="20"/>
          <w:szCs w:val="20"/>
          <w:rtl w:val="false"/>
        </w:rPr>
        <w:t xml:space="preserve">Fables of a Jewish Aesop</w:t>
      </w:r>
      <w:r>
        <w:rPr>
          <w:rFonts w:ascii="Times New Roman" w:cs="David" w:eastAsia="David" w:hAnsi="Times New Roman"/>
          <w:i w:val="false"/>
          <w:iCs w:val="false"/>
          <w:sz w:val="20"/>
          <w:szCs w:val="20"/>
          <w:rtl w:val="false"/>
        </w:rPr>
        <w:t xml:space="preserve">, Introduction, pp. vii-xiv [</w:t>
      </w:r>
      <w:r>
        <w:rPr>
          <w:rFonts w:ascii="Times New Roman" w:cs="David" w:eastAsia="David" w:hAnsi="Times New Roman"/>
          <w:i w:val="false"/>
          <w:iCs w:val="false"/>
          <w:sz w:val="20"/>
          <w:szCs w:val="20"/>
          <w:rtl/>
        </w:rPr>
        <w:t xml:space="preserve">לוודא עמודים].</w:t>
      </w:r>
    </w:p>
  </w:footnote>
  <w:footnote w:id="16">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Jan M. Ziolkowski, </w:t>
      </w:r>
      <w:r>
        <w:rPr>
          <w:rFonts w:ascii="Times New Roman" w:cs="David" w:eastAsia="David" w:hAnsi="Times New Roman"/>
          <w:i/>
          <w:iCs/>
          <w:sz w:val="20"/>
          <w:szCs w:val="20"/>
          <w:rtl w:val="false"/>
        </w:rPr>
        <w:t xml:space="preserve">Talking Animals: Medieval Latin Beast Poetry, 750-1150</w:t>
      </w:r>
      <w:r>
        <w:rPr>
          <w:rFonts w:ascii="Times New Roman" w:cs="David" w:eastAsia="David" w:hAnsi="Times New Roman"/>
          <w:i w:val="false"/>
          <w:iCs w:val="false"/>
          <w:sz w:val="20"/>
          <w:szCs w:val="20"/>
          <w:rtl w:val="false"/>
        </w:rPr>
        <w:t xml:space="preserve">, Philadelphia: University of Pennsylvania Press, 1993, pp. 1-14.</w:t>
      </w:r>
    </w:p>
  </w:footnote>
  <w:footnote w:id="17">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Berechiah ha-Nakdan, </w:t>
      </w:r>
      <w:r>
        <w:rPr>
          <w:rFonts w:ascii="Times New Roman" w:cs="David" w:eastAsia="David" w:hAnsi="Times New Roman"/>
          <w:i/>
          <w:iCs/>
          <w:sz w:val="20"/>
          <w:szCs w:val="20"/>
          <w:rtl w:val="false"/>
        </w:rPr>
        <w:t xml:space="preserve">Fables of a Jewish Aesop</w:t>
      </w:r>
      <w:r>
        <w:rPr>
          <w:rFonts w:ascii="Times New Roman" w:cs="David" w:eastAsia="David" w:hAnsi="Times New Roman"/>
          <w:i w:val="false"/>
          <w:iCs w:val="false"/>
          <w:sz w:val="20"/>
          <w:szCs w:val="20"/>
          <w:rtl w:val="false"/>
        </w:rPr>
        <w:t xml:space="preserve">, trans. Moses Hadas, New York: Columbia University Press, 1967;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rPr>
        <w:t xml:space="preserve">.</w:t>
      </w:r>
    </w:p>
  </w:footnote>
  <w:footnote w:id="18">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val="false"/>
        </w:rPr>
        <w:t xml:space="preserve">, Introduction.</w:t>
      </w:r>
    </w:p>
  </w:footnote>
  <w:footnote w:id="19">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דן פגיס, </w:t>
      </w:r>
      <w:r>
        <w:rPr>
          <w:rFonts w:ascii="Times New Roman" w:cs="David" w:eastAsia="David" w:hAnsi="Times New Roman"/>
          <w:i/>
          <w:iCs/>
          <w:sz w:val="20"/>
          <w:szCs w:val="20"/>
          <w:rtl/>
        </w:rPr>
        <w:t xml:space="preserve">חידוש ומסורת בשירת החול העברית: ספרד ואיטליה</w:t>
      </w:r>
      <w:r>
        <w:rPr>
          <w:rFonts w:ascii="Times New Roman" w:cs="David" w:eastAsia="David" w:hAnsi="Times New Roman"/>
          <w:i w:val="false"/>
          <w:iCs w:val="false"/>
          <w:sz w:val="20"/>
          <w:szCs w:val="20"/>
          <w:rtl/>
        </w:rPr>
        <w:t xml:space="preserve">, ירושלים: כתר, 1976, עמ' 70-77 [לוודא עמודים].</w:t>
      </w:r>
    </w:p>
  </w:footnote>
  <w:footnote w:id="20">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הקדמת המחבר, מהדורת הברמן [לוודא עמודים וציטוט מדויק].</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2026-09-19T10:41:42.743Z</dcterms:created>
  <dcterms:modified xsi:type="dcterms:W3CDTF">2026-09-19T10:41:42.743Z</dcterms:modified>
</cp:coreProperties>
</file>

<file path=docProps/custom.xml><?xml version="1.0" encoding="utf-8"?>
<Properties xmlns="http://schemas.openxmlformats.org/officeDocument/2006/custom-properties" xmlns:vt="http://schemas.openxmlformats.org/officeDocument/2006/docPropsVTypes"/>
</file>