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lang w:val="en-US" w:bidi="he-I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lang w:val="en-US" w:bidi="he-I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lang w:val="en-US" w:bidi="he-IL"/>
        </w:rPr>
        <w:t xml:space="preserve">מאת</w:t>
      </w:r>
    </w:p>
    <w:p>
      <w:pPr>
        <w:bidi/>
        <w:spacing w:after="120" w:line="360"/>
        <w:jc w:val="center"/>
      </w:pPr>
      <w:r>
        <w:rPr>
          <w:rFonts w:ascii="David" w:cs="David" w:eastAsia="David" w:hAnsi="David"/>
          <w:sz w:val="24"/>
          <w:szCs w:val="24"/>
          <w:highlight w:val="yellow"/>
          <w:rtl/>
          <w:lang w:val="en-US" w:bidi="he-IL"/>
        </w:rPr>
        <w:t xml:space="preserve">שם, מספר זהות</w:t>
      </w:r>
    </w:p>
    <w:p>
      <w:pPr>
        <w:bidi/>
        <w:spacing w:after="120" w:line="360"/>
        <w:jc w:val="center"/>
      </w:pPr>
      <w:r>
        <w:rPr>
          <w:rFonts w:ascii="David" w:cs="David" w:eastAsia="David" w:hAnsi="David"/>
          <w:sz w:val="24"/>
          <w:szCs w:val="24"/>
          <w:highlight w:val="yellow"/>
          <w:rtl/>
          <w:lang w:val="en-US" w:bidi="he-IL"/>
        </w:rPr>
        <w:t xml:space="preserve">שם, מספר זהות</w:t>
      </w:r>
    </w:p>
    <w:p>
      <w:r>
        <w:t xml:space="preserve"/>
      </w:r>
    </w:p>
    <w:p>
      <w:r>
        <w:t xml:space="preserve"/>
      </w:r>
    </w:p>
    <w:p>
      <w:pPr>
        <w:bidi/>
        <w:spacing w:after="120" w:line="360"/>
        <w:jc w:val="center"/>
      </w:pPr>
      <w:r>
        <w:rPr>
          <w:rFonts w:ascii="David" w:cs="David" w:eastAsia="David" w:hAnsi="David"/>
          <w:sz w:val="24"/>
          <w:szCs w:val="24"/>
          <w:rtl/>
          <w:lang w:val="en-US" w:bidi="he-IL"/>
        </w:rPr>
        <w:t xml:space="preserve">החוג לקרימינולוגיה</w:t>
      </w:r>
    </w:p>
    <w:p>
      <w:pPr>
        <w:bidi/>
        <w:spacing w:after="120" w:line="360"/>
        <w:jc w:val="center"/>
      </w:pPr>
      <w:r>
        <w:rPr>
          <w:rFonts w:ascii="David" w:cs="David" w:eastAsia="David" w:hAnsi="David"/>
          <w:sz w:val="24"/>
          <w:szCs w:val="24"/>
          <w:rtl/>
          <w:lang w:val="en-US" w:bidi="he-I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lang w:val="en-US" w:bidi="he-IL"/>
        </w:rPr>
        <w:t xml:space="preserve">אשקלון, </w:t>
      </w:r>
      <w:r>
        <w:rPr>
          <w:rFonts w:ascii="David" w:cs="David" w:eastAsia="David" w:hAnsi="David"/>
          <w:sz w:val="24"/>
          <w:szCs w:val="24"/>
          <w:highlight w:val="yellow"/>
          <w:rtl/>
          <w:lang w:val="en-US" w:bidi="he-IL"/>
        </w:rPr>
        <w:t xml:space="preserve">אלול תשפ"ו, ספטמבר </w:t>
      </w:r>
      <w:r>
        <w:rPr>
          <w:rFonts w:ascii="Times New Roman" w:cs="Times New Roman" w:eastAsia="Times New Roman" w:hAnsi="Times New Roman"/>
          <w:noProof/>
          <w:sz w:val="24"/>
          <w:szCs w:val="24"/>
          <w:highlight w:val="yellow"/>
          <w:lang w:val="en-US" w:bidi="he-IL"/>
        </w:rPr>
        <w:t xml:space="preserve">2026</w:t>
      </w:r>
    </w:p>
    <w:p>
      <w:pPr>
        <w:pStyle w:val="Heading1"/>
        <w:pageBreakBefore/>
        <w:bidi/>
        <w:spacing w:after="240" w:before="0" w:line="360"/>
        <w:jc w:val="right"/>
      </w:pPr>
      <w:r>
        <w:rPr>
          <w:rFonts w:ascii="David" w:cs="David" w:eastAsia="David" w:hAnsi="David"/>
          <w:b/>
          <w:bCs/>
          <w:sz w:val="32"/>
          <w:szCs w:val="32"/>
          <w:rtl/>
          <w:lang w:val="en-US"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lang w:val="en-US" w:bidi="he-IL"/>
        </w:rPr>
        <w:t xml:space="preserve">תקציר בעברית</w:t>
      </w:r>
    </w:p>
    <w:p>
      <w:pPr>
        <w:bidi/>
        <w:spacing w:after="120" w:line="360"/>
        <w:jc w:val="both"/>
      </w:pPr>
      <w:r>
        <w:rPr>
          <w:rFonts w:ascii="David" w:cs="David" w:eastAsia="David" w:hAnsi="David"/>
          <w:sz w:val="24"/>
          <w:szCs w:val="24"/>
          <w:rtl/>
          <w:lang w:val="en-US" w:bidi="he-I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והניתוח צומצם ל</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הלגיטימיות נמדדה בשלושה פריטים והרווחה הנפשית בחמישה,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שפוטים ברמת הלגיטימיות הגבוהה דיווחו על רווחה נפשית גבוהה בכ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lang w:val="en-US" w:bidi="he-I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lang w:val="en-US" w:bidi="he-IL"/>
        </w:rPr>
        <w:t xml:space="preserve">תקציר באנגלית</w:t>
      </w:r>
    </w:p>
    <w:p>
      <w:pPr>
        <w:spacing w:after="120" w:line="360"/>
        <w:jc w:val="both"/>
      </w:pPr>
      <w:r>
        <w:rPr>
          <w:rFonts w:ascii="Times New Roman" w:cs="Times New Roman" w:eastAsia="Times New Roman" w:hAnsi="Times New Roman"/>
          <w:sz w:val="24"/>
          <w:szCs w:val="24"/>
          <w:lang w:val="en-US" w:bidi="he-IL"/>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lang w:val="en-US" w:bidi="he-IL"/>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lang w:val="en-US" w:bidi="he-IL"/>
        </w:rPr>
        <w:t xml:space="preserve">מבוא</w:t>
      </w:r>
    </w:p>
    <w:p>
      <w:pPr>
        <w:bidi/>
        <w:spacing w:after="120" w:line="360"/>
        <w:jc w:val="both"/>
      </w:pPr>
      <w:r>
        <w:rPr>
          <w:rFonts w:ascii="David" w:cs="David" w:eastAsia="David" w:hAnsi="David"/>
          <w:sz w:val="24"/>
          <w:szCs w:val="24"/>
          <w:rtl/>
          <w:lang w:val="en-US" w:bidi="he-IL"/>
        </w:rPr>
        <w:t xml:space="preserve">בית הסוהר הוא מוסד שבו סמכות הסגל כמעט מוחלטת, ובכל זאת הסדר היומיומי באגף תלוי בשיתוף פעולה של האסירים.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jc w:val="both"/>
      </w:pPr>
      <w:r>
        <w:rPr>
          <w:rFonts w:ascii="David" w:cs="David" w:eastAsia="David" w:hAnsi="David"/>
          <w:sz w:val="24"/>
          <w:szCs w:val="24"/>
          <w:rtl/>
          <w:lang w:val="en-US" w:bidi="he-IL"/>
        </w:rPr>
        <w:t xml:space="preserve">ההקשר הישראלי מוסיף לשאלה משקל. תקנות בתי הסוהר קובעות שטח מחיה של </w:t>
      </w:r>
      <w:r>
        <w:rPr>
          <w:rFonts w:ascii="Times New Roman" w:cs="Times New Roman" w:eastAsia="Times New Roman" w:hAnsi="Times New Roman"/>
          <w:noProof/>
          <w:sz w:val="24"/>
          <w:szCs w:val="24"/>
          <w:lang w:val="en-US" w:bidi="he-IL"/>
        </w:rPr>
        <w:t xml:space="preserve">4.5</w:t>
      </w:r>
      <w:r>
        <w:rPr>
          <w:rFonts w:ascii="David" w:cs="David" w:eastAsia="David" w:hAnsi="David"/>
          <w:sz w:val="24"/>
          <w:szCs w:val="24"/>
          <w:rtl/>
          <w:lang w:val="en-US" w:bidi="he-IL"/>
        </w:rPr>
        <w:t xml:space="preserve"> מטרים רבועים לאסיר, אך במאי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מועד הפעימה הראשונה שקבע בג"ץ בעתירה </w:t>
      </w:r>
      <w:r>
        <w:rPr>
          <w:rFonts w:ascii="Times New Roman" w:cs="Times New Roman" w:eastAsia="Times New Roman" w:hAnsi="Times New Roman"/>
          <w:noProof/>
          <w:sz w:val="24"/>
          <w:szCs w:val="24"/>
          <w:lang w:val="en-US" w:bidi="he-IL"/>
        </w:rPr>
        <w:t xml:space="preserve">1892</w:t>
      </w:r>
      <w:r>
        <w:rPr>
          <w:rFonts w:ascii="Times New Roman" w:cs="Times New Roman" w:eastAsia="Times New Roman" w:hAnsi="Times New Roman"/>
          <w:noProof/>
          <w:sz w:val="24"/>
          <w:szCs w:val="24"/>
          <w:lang w:val="en-US" w:bidi="he-IL"/>
        </w:rPr>
        <w:t xml:space="preserve">/</w:t>
      </w:r>
      <w:r>
        <w:rPr>
          <w:rFonts w:ascii="Times New Roman" w:cs="Times New Roman" w:eastAsia="Times New Roman" w:hAnsi="Times New Roman"/>
          <w:noProof/>
          <w:sz w:val="24"/>
          <w:szCs w:val="24"/>
          <w:lang w:val="en-US" w:bidi="he-IL"/>
        </w:rPr>
        <w:t xml:space="preserve">14,</w:t>
      </w:r>
      <w:r>
        <w:rPr>
          <w:rFonts w:ascii="David" w:cs="David" w:eastAsia="David" w:hAnsi="David"/>
          <w:sz w:val="24"/>
          <w:szCs w:val="24"/>
          <w:rtl/>
          <w:lang w:val="en-US" w:bidi="he-IL"/>
        </w:rPr>
        <w:t xml:space="preserve">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ממקומות הכליאה עדיין היו קטנים מתקן זה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noProof/>
          <w:sz w:val="24"/>
          <w:szCs w:val="24"/>
          <w:lang w:val="en-US" w:bidi="he-IL"/>
        </w:rPr>
        <w:t xml:space="preserve">2013,</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ולפעמים בלי שידעו את מועד שחרורם עד ליום השחרור עצמו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ענף המחקר של שירות בתי הסוהר מקדם בשנים האחרונות מדיניות מבוססת נתונים, ובכלל זה הערכה שיטתית של תוכניות </w:t>
      </w:r>
      <w:r>
        <w:rPr>
          <w:rFonts w:ascii="David" w:cs="David" w:eastAsia="David" w:hAnsi="David"/>
          <w:noProof/>
          <w:sz w:val="24"/>
          <w:szCs w:val="24"/>
          <w:rtl/>
          <w:lang w:val="en-US" w:bidi="he-IL"/>
        </w:rPr>
        <w:t xml:space="preserve">התקון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2025</w:t>
      </w:r>
      <w:r>
        <w:rPr>
          <w:rFonts w:ascii="David" w:cs="David" w:eastAsia="David" w:hAnsi="David"/>
          <w:sz w:val="24"/>
          <w:szCs w:val="24"/>
          <w:rtl/>
          <w:lang w:val="en-US" w:bidi="he-IL"/>
        </w:rPr>
        <w:t xml:space="preserve">). על רקע זה נערך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סקר תנאי המחיה הראשון בהיקפו בשירות בתי הסוהר, בקרב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מטרת המחקר ומבנה העבודה</w:t>
      </w:r>
    </w:p>
    <w:p>
      <w:pPr>
        <w:bidi/>
        <w:spacing w:after="120" w:line="360"/>
        <w:jc w:val="both"/>
      </w:pPr>
      <w:r>
        <w:rPr>
          <w:rFonts w:ascii="David" w:cs="David" w:eastAsia="David" w:hAnsi="David"/>
          <w:sz w:val="24"/>
          <w:szCs w:val="24"/>
          <w:rtl/>
          <w:lang w:val="en-US" w:bidi="he-I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סקירת ספרות</w:t>
      </w:r>
    </w:p>
    <w:p>
      <w:pPr>
        <w:pStyle w:val="Heading2"/>
        <w:keepNext/>
        <w:bidi/>
        <w:spacing w:after="120" w:before="240" w:line="360"/>
        <w:jc w:val="right"/>
      </w:pPr>
      <w:r>
        <w:rPr>
          <w:rFonts w:ascii="David" w:cs="David" w:eastAsia="David" w:hAnsi="David"/>
          <w:b/>
          <w:bCs/>
          <w:sz w:val="28"/>
          <w:szCs w:val="28"/>
          <w:rtl/>
          <w:lang w:val="en-US" w:bidi="he-IL"/>
        </w:rPr>
        <w:t xml:space="preserve">הסתגלות למאסר ורווחה נפשית</w:t>
      </w:r>
    </w:p>
    <w:p>
      <w:pPr>
        <w:bidi/>
        <w:spacing w:after="120" w:line="360"/>
        <w:jc w:val="both"/>
      </w:pPr>
      <w:r>
        <w:rPr>
          <w:rFonts w:ascii="David" w:cs="David" w:eastAsia="David" w:hAnsi="David"/>
          <w:sz w:val="24"/>
          <w:szCs w:val="24"/>
          <w:rtl/>
          <w:lang w:val="en-US" w:bidi="he-IL"/>
        </w:rPr>
        <w:t xml:space="preserve">נקודת המוצא לכל דיון בהסתגלות למאסר היא מודל המחסור, שנוסח בעקבות עבודתו של </w:t>
      </w:r>
      <w:r>
        <w:rPr>
          <w:rFonts w:ascii="David" w:cs="David" w:eastAsia="David" w:hAnsi="David"/>
          <w:noProof/>
          <w:sz w:val="24"/>
          <w:szCs w:val="24"/>
          <w:rtl/>
          <w:lang w:val="en-US" w:bidi="he-IL"/>
        </w:rPr>
        <w:t xml:space="preserve">סייקס</w:t>
      </w:r>
      <w:r>
        <w:rPr>
          <w:rFonts w:ascii="David" w:cs="David" w:eastAsia="David" w:hAnsi="David"/>
          <w:sz w:val="24"/>
          <w:szCs w:val="24"/>
          <w:rtl/>
          <w:lang w:val="en-US" w:bidi="he-IL"/>
        </w:rPr>
        <w:t xml:space="preserve"> על "כאבי המאסר": אבדן החירות, אבדן טובין ושירותים, אבדן קשרים אינטימיים, אבדן האוטונומיה ואבדן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noProof/>
          <w:sz w:val="24"/>
          <w:szCs w:val="24"/>
          <w:lang w:val="en-US" w:bidi="he-IL"/>
        </w:rPr>
        <w:t xml:space="preserve">Sykes, 1958</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סקירת הספרות של שירות בתי הסוהר, שבחנה את הקשר בין תנאי הכליאה הפיזיים לבין התנהגות אסירים, התאבדויות ולמועדות חוזרת, מצאה שתנאי כליאה קשים מקושרים לאלימות ולהתאבדויות, ושקבוצות מסוימות, ובהן אסירים בסיכון אבדני, רגישות להם במיוחד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מכאן צומחת השאלה כיצד אדם מסתגל למקום שנועד לשלול ממנו כמעט הכול.</w:t>
      </w:r>
    </w:p>
    <w:p>
      <w:pPr>
        <w:bidi/>
        <w:spacing w:after="120" w:line="360"/>
        <w:jc w:val="both"/>
      </w:pPr>
      <w:r>
        <w:rPr>
          <w:rFonts w:ascii="David" w:cs="David" w:eastAsia="David" w:hAnsi="David"/>
          <w:sz w:val="24"/>
          <w:szCs w:val="24"/>
          <w:rtl/>
          <w:lang w:val="en-US" w:bidi="he-I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w:t>
      </w:r>
      <w:r>
        <w:rPr>
          <w:rFonts w:ascii="David" w:cs="David" w:eastAsia="David" w:hAnsi="David"/>
          <w:noProof/>
          <w:sz w:val="24"/>
          <w:szCs w:val="24"/>
          <w:rtl/>
          <w:lang w:val="en-US" w:bidi="he-IL"/>
        </w:rPr>
        <w:t xml:space="preserve">בקיימברידג'</w:t>
      </w:r>
      <w:r>
        <w:rPr>
          <w:rFonts w:ascii="David" w:cs="David" w:eastAsia="David" w:hAnsi="David"/>
          <w:sz w:val="24"/>
          <w:szCs w:val="24"/>
          <w:rtl/>
          <w:lang w:val="en-US" w:bidi="he-IL"/>
        </w:rPr>
        <w:t xml:space="preserve">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בהמשך לכך 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על בסיס </w:t>
      </w:r>
      <w:r>
        <w:rPr>
          <w:rFonts w:ascii="Times New Roman" w:cs="Times New Roman" w:eastAsia="Times New Roman" w:hAnsi="Times New Roman"/>
          <w:noProof/>
          <w:sz w:val="24"/>
          <w:szCs w:val="24"/>
          <w:lang w:val="en-US" w:bidi="he-IL"/>
        </w:rPr>
        <w:t xml:space="preserve">518</w:t>
      </w:r>
      <w:r>
        <w:rPr>
          <w:rFonts w:ascii="David" w:cs="David" w:eastAsia="David" w:hAnsi="David"/>
          <w:sz w:val="24"/>
          <w:szCs w:val="24"/>
          <w:rtl/>
          <w:lang w:val="en-US" w:bidi="he-IL"/>
        </w:rPr>
        <w:t xml:space="preserve"> סקרי איכות חיים באנגליה </w:t>
      </w:r>
      <w:r>
        <w:rPr>
          <w:rFonts w:ascii="David" w:cs="David" w:eastAsia="David" w:hAnsi="David"/>
          <w:noProof/>
          <w:sz w:val="24"/>
          <w:szCs w:val="24"/>
          <w:rtl/>
          <w:lang w:val="en-US" w:bidi="he-IL"/>
        </w:rPr>
        <w:t xml:space="preserve">ובוויילס</w:t>
      </w:r>
      <w:r>
        <w:rPr>
          <w:rFonts w:ascii="David" w:cs="David" w:eastAsia="David" w:hAnsi="David"/>
          <w:sz w:val="24"/>
          <w:szCs w:val="24"/>
          <w:rtl/>
          <w:lang w:val="en-US" w:bidi="he-IL"/>
        </w:rPr>
        <w:t xml:space="preserve"> בין </w:t>
      </w:r>
      <w:r>
        <w:rPr>
          <w:rFonts w:ascii="Times New Roman" w:cs="Times New Roman" w:eastAsia="Times New Roman" w:hAnsi="Times New Roman"/>
          <w:noProof/>
          <w:sz w:val="24"/>
          <w:szCs w:val="24"/>
          <w:lang w:val="en-US" w:bidi="he-IL"/>
        </w:rPr>
        <w:t xml:space="preserve">2009</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noProof/>
          <w:sz w:val="24"/>
          <w:szCs w:val="24"/>
          <w:lang w:val="en-US" w:bidi="he-IL"/>
        </w:rPr>
        <w:t xml:space="preserve">3.05</w:t>
      </w:r>
      <w:r>
        <w:rPr>
          <w:rFonts w:ascii="David" w:cs="David" w:eastAsia="David" w:hAnsi="David"/>
          <w:sz w:val="24"/>
          <w:szCs w:val="24"/>
          <w:rtl/>
          <w:lang w:val="en-US" w:bidi="he-IL"/>
        </w:rPr>
        <w:t xml:space="preserve"> ו</w:t>
      </w:r>
      <w:r>
        <w:rPr>
          <w:rFonts w:ascii="Times New Roman" w:cs="Times New Roman" w:eastAsia="Times New Roman" w:hAnsi="Times New Roman"/>
          <w:noProof/>
          <w:sz w:val="24"/>
          <w:szCs w:val="24"/>
          <w:lang w:val="en-US" w:bidi="he-IL"/>
        </w:rPr>
        <w:t xml:space="preserve">-3.55</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ובבתי סוהר שמתחת לסף התחתון נמצאו שיעורים גבוהים באופן מובהק של תקיפות, פגיעה עצמית ומקרי מוות. בהולנד בחנו </w:t>
      </w:r>
      <w:r>
        <w:rPr>
          <w:rFonts w:ascii="David" w:cs="David" w:eastAsia="David" w:hAnsi="David"/>
          <w:noProof/>
          <w:sz w:val="24"/>
          <w:szCs w:val="24"/>
          <w:rtl/>
          <w:lang w:val="en-US" w:bidi="he-IL"/>
        </w:rPr>
        <w:t xml:space="preserve">ון גינקן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את הקשר בין אקלים בית הסוהר לרווחה בקרב </w:t>
      </w:r>
      <w:r>
        <w:rPr>
          <w:rFonts w:ascii="Times New Roman" w:cs="Times New Roman" w:eastAsia="Times New Roman" w:hAnsi="Times New Roman"/>
          <w:noProof/>
          <w:sz w:val="24"/>
          <w:szCs w:val="24"/>
          <w:lang w:val="en-US" w:bidi="he-IL"/>
        </w:rPr>
        <w:t xml:space="preserve">4,538</w:t>
      </w:r>
      <w:r>
        <w:rPr>
          <w:rFonts w:ascii="David" w:cs="David" w:eastAsia="David" w:hAnsi="David"/>
          <w:sz w:val="24"/>
          <w:szCs w:val="24"/>
          <w:rtl/>
          <w:lang w:val="en-US" w:bidi="he-I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noProof/>
          <w:sz w:val="24"/>
          <w:szCs w:val="24"/>
          <w:lang w:val="en-US" w:bidi="he-IL"/>
        </w:rPr>
        <w:t xml:space="preserve">271</w:t>
      </w:r>
      <w:r>
        <w:rPr>
          <w:rFonts w:ascii="David" w:cs="David" w:eastAsia="David" w:hAnsi="David"/>
          <w:sz w:val="24"/>
          <w:szCs w:val="24"/>
          <w:rtl/>
          <w:lang w:val="en-US" w:bidi="he-IL"/>
        </w:rPr>
        <w:t xml:space="preserve"> אסירים (</w:t>
      </w:r>
      <w:r>
        <w:rPr>
          <w:rFonts w:ascii="David" w:cs="David" w:eastAsia="David" w:hAnsi="David"/>
          <w:noProof/>
          <w:sz w:val="24"/>
          <w:szCs w:val="24"/>
          <w:rtl/>
          <w:lang w:val="en-US" w:bidi="he-IL"/>
        </w:rPr>
        <w:t xml:space="preserve">נחשון דהן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וכץ</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הקשר בין יחס הסגל לרווחה נחקר גם במערכי אורך. באוסטרליה עקבו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אחר אסירים בניו </w:t>
      </w:r>
      <w:r>
        <w:rPr>
          <w:rFonts w:ascii="David" w:cs="David" w:eastAsia="David" w:hAnsi="David"/>
          <w:noProof/>
          <w:sz w:val="24"/>
          <w:szCs w:val="24"/>
          <w:rtl/>
          <w:lang w:val="en-US" w:bidi="he-IL"/>
        </w:rPr>
        <w:t xml:space="preserve">סאות'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ויילס</w:t>
      </w:r>
      <w:r>
        <w:rPr>
          <w:rFonts w:ascii="David" w:cs="David" w:eastAsia="David" w:hAnsi="David"/>
          <w:sz w:val="24"/>
          <w:szCs w:val="24"/>
          <w:rtl/>
          <w:lang w:val="en-US" w:bidi="he-IL"/>
        </w:rPr>
        <w:t xml:space="preserve">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noProof/>
          <w:sz w:val="24"/>
          <w:szCs w:val="24"/>
          <w:lang w:val="en-US" w:bidi="he-IL"/>
        </w:rPr>
        <w:t xml:space="preserve">Beijersbergen et al., 2014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בישראל, מחקר בקרב </w:t>
      </w:r>
      <w:r>
        <w:rPr>
          <w:rFonts w:ascii="Times New Roman" w:cs="Times New Roman" w:eastAsia="Times New Roman" w:hAnsi="Times New Roman"/>
          <w:noProof/>
          <w:sz w:val="24"/>
          <w:szCs w:val="24"/>
          <w:lang w:val="en-US" w:bidi="he-IL"/>
        </w:rPr>
        <w:t xml:space="preserve">76</w:t>
      </w:r>
      <w:r>
        <w:rPr>
          <w:rFonts w:ascii="David" w:cs="David" w:eastAsia="David" w:hAnsi="David"/>
          <w:sz w:val="24"/>
          <w:szCs w:val="24"/>
          <w:rtl/>
          <w:lang w:val="en-US" w:bidi="he-IL"/>
        </w:rPr>
        <w:t xml:space="preserve"> אסירים בכלא </w:t>
      </w:r>
      <w:r>
        <w:rPr>
          <w:rFonts w:ascii="David" w:cs="David" w:eastAsia="David" w:hAnsi="David"/>
          <w:noProof/>
          <w:sz w:val="24"/>
          <w:szCs w:val="24"/>
          <w:rtl/>
          <w:lang w:val="en-US" w:bidi="he-IL"/>
        </w:rPr>
        <w:t xml:space="preserve">צלמון</w:t>
      </w:r>
      <w:r>
        <w:rPr>
          <w:rFonts w:ascii="David" w:cs="David" w:eastAsia="David" w:hAnsi="David"/>
          <w:sz w:val="24"/>
          <w:szCs w:val="24"/>
          <w:rtl/>
          <w:lang w:val="en-US" w:bidi="he-IL"/>
        </w:rPr>
        <w:t xml:space="preserve"> ובכלא </w:t>
      </w:r>
      <w:r>
        <w:rPr>
          <w:rFonts w:ascii="David" w:cs="David" w:eastAsia="David" w:hAnsi="David"/>
          <w:noProof/>
          <w:sz w:val="24"/>
          <w:szCs w:val="24"/>
          <w:rtl/>
          <w:lang w:val="en-US" w:bidi="he-IL"/>
        </w:rPr>
        <w:t xml:space="preserve">מעשיהו</w:t>
      </w:r>
      <w:r>
        <w:rPr>
          <w:rFonts w:ascii="David" w:cs="David" w:eastAsia="David" w:hAnsi="David"/>
          <w:sz w:val="24"/>
          <w:szCs w:val="24"/>
          <w:rtl/>
          <w:lang w:val="en-US" w:bidi="he-IL"/>
        </w:rPr>
        <w:t xml:space="preserve"> מצא ש</w:t>
      </w:r>
      <w:r>
        <w:rPr>
          <w:rFonts w:ascii="Times New Roman" w:cs="Times New Roman" w:eastAsia="Times New Roman" w:hAnsi="Times New Roman"/>
          <w:noProof/>
          <w:sz w:val="24"/>
          <w:szCs w:val="24"/>
          <w:lang w:val="en-US" w:bidi="he-IL"/>
        </w:rPr>
        <w:t xml:space="preserve">-63.5</w:t>
      </w:r>
      <w:r>
        <w:rPr>
          <w:rFonts w:ascii="David" w:cs="David" w:eastAsia="David" w:hAnsi="David"/>
          <w:sz w:val="24"/>
          <w:szCs w:val="24"/>
          <w:rtl/>
          <w:lang w:val="en-US" w:bidi="he-I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noProof/>
          <w:sz w:val="24"/>
          <w:szCs w:val="24"/>
          <w:lang w:val="en-US" w:bidi="he-IL"/>
        </w:rPr>
        <w:t xml:space="preserve">93</w:t>
      </w:r>
      <w:r>
        <w:rPr>
          <w:rFonts w:ascii="David" w:cs="David" w:eastAsia="David" w:hAnsi="David"/>
          <w:sz w:val="24"/>
          <w:szCs w:val="24"/>
          <w:rtl/>
          <w:lang w:val="en-US" w:bidi="he-IL"/>
        </w:rPr>
        <w:t xml:space="preserve"> גברים שהשתתפו בקבוצה </w:t>
      </w:r>
      <w:r>
        <w:rPr>
          <w:rFonts w:ascii="David" w:cs="David" w:eastAsia="David" w:hAnsi="David"/>
          <w:noProof/>
          <w:sz w:val="24"/>
          <w:szCs w:val="24"/>
          <w:rtl/>
          <w:lang w:val="en-US" w:bidi="he-IL"/>
        </w:rPr>
        <w:t xml:space="preserve">פסיכו-חינוכית</w:t>
      </w:r>
      <w:r>
        <w:rPr>
          <w:rFonts w:ascii="David" w:cs="David" w:eastAsia="David" w:hAnsi="David"/>
          <w:sz w:val="24"/>
          <w:szCs w:val="24"/>
          <w:rtl/>
          <w:lang w:val="en-US" w:bidi="he-IL"/>
        </w:rPr>
        <w:t xml:space="preserve">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גם בקרב </w:t>
      </w:r>
      <w:r>
        <w:rPr>
          <w:rFonts w:ascii="Times New Roman" w:cs="Times New Roman" w:eastAsia="Times New Roman" w:hAnsi="Times New Roman"/>
          <w:noProof/>
          <w:sz w:val="24"/>
          <w:szCs w:val="24"/>
          <w:lang w:val="en-US" w:bidi="he-IL"/>
        </w:rPr>
        <w:t xml:space="preserve">102</w:t>
      </w:r>
      <w:r>
        <w:rPr>
          <w:rFonts w:ascii="David" w:cs="David" w:eastAsia="David" w:hAnsi="David"/>
          <w:sz w:val="24"/>
          <w:szCs w:val="24"/>
          <w:rtl/>
          <w:lang w:val="en-US" w:bidi="he-I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חוזקו.</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של סגל הכליאה</w:t>
      </w:r>
    </w:p>
    <w:p>
      <w:pPr>
        <w:bidi/>
        <w:spacing w:after="120" w:line="360"/>
        <w:jc w:val="both"/>
      </w:pPr>
      <w:r>
        <w:rPr>
          <w:rFonts w:ascii="David" w:cs="David" w:eastAsia="David" w:hAnsi="David"/>
          <w:sz w:val="24"/>
          <w:szCs w:val="24"/>
          <w:rtl/>
          <w:lang w:val="en-US" w:bidi="he-IL"/>
        </w:rPr>
        <w:t xml:space="preserve">הבסיס התאורטי של מחקרי הלגיטימיות בכליאה הונח על ידי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שהעבירו אל בית הסוהר את תאוריות הלגיטימיות של </w:t>
      </w:r>
      <w:r>
        <w:rPr>
          <w:rFonts w:ascii="David" w:cs="David" w:eastAsia="David" w:hAnsi="David"/>
          <w:noProof/>
          <w:sz w:val="24"/>
          <w:szCs w:val="24"/>
          <w:rtl/>
          <w:lang w:val="en-US" w:bidi="he-IL"/>
        </w:rPr>
        <w:t xml:space="preserve">ביתהם</w:t>
      </w:r>
      <w:r>
        <w:rPr>
          <w:rFonts w:ascii="David" w:cs="David" w:eastAsia="David" w:hAnsi="David"/>
          <w:sz w:val="24"/>
          <w:szCs w:val="24"/>
          <w:rtl/>
          <w:lang w:val="en-US" w:bidi="he-IL"/>
        </w:rPr>
        <w:t xml:space="preserve"> ושל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jc w:val="both"/>
      </w:pPr>
      <w:r>
        <w:rPr>
          <w:rFonts w:ascii="David" w:cs="David" w:eastAsia="David" w:hAnsi="David"/>
          <w:sz w:val="24"/>
          <w:szCs w:val="24"/>
          <w:rtl/>
          <w:lang w:val="en-US" w:bidi="he-IL"/>
        </w:rPr>
        <w:t xml:space="preserve">הממצא האמפירי הרחב ביותר בתחום מגיע מאנגליה </w:t>
      </w:r>
      <w:r>
        <w:rPr>
          <w:rFonts w:ascii="David" w:cs="David" w:eastAsia="David" w:hAnsi="David"/>
          <w:noProof/>
          <w:sz w:val="24"/>
          <w:szCs w:val="24"/>
          <w:rtl/>
          <w:lang w:val="en-US" w:bidi="he-IL"/>
        </w:rPr>
        <w:t xml:space="preserve">ומוויילס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ניתחו סקר של יותר מ</w:t>
      </w:r>
      <w:r>
        <w:rPr>
          <w:rFonts w:ascii="Times New Roman" w:cs="Times New Roman" w:eastAsia="Times New Roman" w:hAnsi="Times New Roman"/>
          <w:noProof/>
          <w:sz w:val="24"/>
          <w:szCs w:val="24"/>
          <w:lang w:val="en-US" w:bidi="he-IL"/>
        </w:rPr>
        <w:t xml:space="preserve">-3,000</w:t>
      </w:r>
      <w:r>
        <w:rPr>
          <w:rFonts w:ascii="David" w:cs="David" w:eastAsia="David" w:hAnsi="David"/>
          <w:sz w:val="24"/>
          <w:szCs w:val="24"/>
          <w:rtl/>
          <w:lang w:val="en-US" w:bidi="he-I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נתוני </w:t>
      </w:r>
      <w:r>
        <w:rPr>
          <w:rFonts w:ascii="Times New Roman" w:cs="Times New Roman" w:eastAsia="Times New Roman" w:hAnsi="Times New Roman"/>
          <w:noProof/>
          <w:sz w:val="24"/>
          <w:szCs w:val="24"/>
          <w:lang w:val="en-US" w:bidi="he-IL"/>
        </w:rPr>
        <w:t xml:space="preserve">1,610</w:t>
      </w:r>
      <w:r>
        <w:rPr>
          <w:rFonts w:ascii="David" w:cs="David" w:eastAsia="David" w:hAnsi="David"/>
          <w:sz w:val="24"/>
          <w:szCs w:val="24"/>
          <w:rtl/>
          <w:lang w:val="en-US" w:bidi="he-IL"/>
        </w:rPr>
        <w:t xml:space="preserve"> אסירים לנתוני </w:t>
      </w:r>
      <w:r>
        <w:rPr>
          <w:rFonts w:ascii="Times New Roman" w:cs="Times New Roman" w:eastAsia="Times New Roman" w:hAnsi="Times New Roman"/>
          <w:noProof/>
          <w:sz w:val="24"/>
          <w:szCs w:val="24"/>
          <w:lang w:val="en-US" w:bidi="he-IL"/>
        </w:rPr>
        <w:t xml:space="preserve">690</w:t>
      </w:r>
      <w:r>
        <w:rPr>
          <w:rFonts w:ascii="David" w:cs="David" w:eastAsia="David" w:hAnsi="David"/>
          <w:sz w:val="24"/>
          <w:szCs w:val="24"/>
          <w:rtl/>
          <w:lang w:val="en-US" w:bidi="he-IL"/>
        </w:rPr>
        <w:t xml:space="preserve"> אנשי סגל, והראו שמאפייני הסגל ביחידה קשורים לתפיסת הצדק הפרוצדורלי של האסירים מעבר למאפייני האסירים עצמם. בסלובניה,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ערכו ראיונות מובנים עם </w:t>
      </w:r>
      <w:r>
        <w:rPr>
          <w:rFonts w:ascii="Times New Roman" w:cs="Times New Roman" w:eastAsia="Times New Roman" w:hAnsi="Times New Roman"/>
          <w:noProof/>
          <w:sz w:val="24"/>
          <w:szCs w:val="24"/>
          <w:lang w:val="en-US" w:bidi="he-IL"/>
        </w:rPr>
        <w:t xml:space="preserve">193</w:t>
      </w:r>
      <w:r>
        <w:rPr>
          <w:rFonts w:ascii="David" w:cs="David" w:eastAsia="David" w:hAnsi="David"/>
          <w:sz w:val="24"/>
          <w:szCs w:val="24"/>
          <w:rtl/>
          <w:lang w:val="en-US" w:bidi="he-I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jc w:val="both"/>
      </w:pPr>
      <w:r>
        <w:rPr>
          <w:rFonts w:ascii="David" w:cs="David" w:eastAsia="David" w:hAnsi="David"/>
          <w:sz w:val="24"/>
          <w:szCs w:val="24"/>
          <w:rtl/>
          <w:lang w:val="en-US" w:bidi="he-IL"/>
        </w:rPr>
        <w:t xml:space="preserve">ממצא נוסף חשוב למחקר הנוכחי.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היקף עדכנית סיכמה את הספרות סביב שני צירים, מה מעצב את הלגיטימיות וכיצד היא קשורה לציות, והצביעה על כך שרוב המחקרים נערכו במדינות מערביות מעטות </w:t>
      </w:r>
      <w:r>
        <w:rPr>
          <w:rFonts w:ascii="Times New Roman" w:cs="Times New Roman" w:eastAsia="Times New Roman" w:hAnsi="Times New Roman"/>
          <w:noProof/>
          <w:sz w:val="24"/>
          <w:szCs w:val="24"/>
          <w:lang w:val="en-US" w:bidi="he-IL"/>
        </w:rPr>
        <w:t xml:space="preserve">(Ryan &amp; Bergin, 2022)</w:t>
      </w:r>
      <w:r>
        <w:rPr>
          <w:rFonts w:ascii="David" w:cs="David" w:eastAsia="David" w:hAnsi="David"/>
          <w:sz w:val="24"/>
          <w:szCs w:val="24"/>
          <w:rtl/>
          <w:lang w:val="en-US" w:bidi="he-IL"/>
        </w:rPr>
        <w:t xml:space="preserve">.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בישראל, המחקר של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noProof/>
          <w:sz w:val="24"/>
          <w:szCs w:val="24"/>
          <w:lang w:val="en-US" w:bidi="he-IL"/>
        </w:rPr>
        <w:t xml:space="preserve">4.23</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lang w:val="en-US" w:bidi="he-IL"/>
        </w:rPr>
        <w:t xml:space="preserve">שאלת המחקר</w:t>
      </w:r>
    </w:p>
    <w:p>
      <w:pPr>
        <w:bidi/>
        <w:spacing w:after="120" w:line="360"/>
        <w:jc w:val="both"/>
      </w:pPr>
      <w:r>
        <w:rPr>
          <w:rFonts w:ascii="David" w:cs="David" w:eastAsia="David" w:hAnsi="David"/>
          <w:sz w:val="24"/>
          <w:szCs w:val="24"/>
          <w:rtl/>
          <w:lang w:val="en-US" w:bidi="he-I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lang w:val="en-US" w:bidi="he-I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lang w:val="en-US" w:bidi="he-I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ועל הקשר בין דלות סביבתית לירידה בלגיטימיות </w:t>
      </w:r>
      <w:r>
        <w:rPr>
          <w:rFonts w:ascii="Times New Roman" w:cs="Times New Roman" w:eastAsia="Times New Roman" w:hAnsi="Times New Roman"/>
          <w:noProof/>
          <w:sz w:val="24"/>
          <w:szCs w:val="24"/>
          <w:lang w:val="en-US" w:bidi="he-IL"/>
        </w:rPr>
        <w:t xml:space="preserve">(Franke et al., 2010)</w:t>
      </w:r>
      <w:r>
        <w:rPr>
          <w:rFonts w:ascii="David" w:cs="David" w:eastAsia="David" w:hAnsi="David"/>
          <w:sz w:val="24"/>
          <w:szCs w:val="24"/>
          <w:rtl/>
          <w:lang w:val="en-US" w:bidi="he-IL"/>
        </w:rPr>
        <w:t xml:space="preserve">.</w:t>
      </w:r>
    </w:p>
    <w:p>
      <w:pPr>
        <w:pStyle w:val="Heading1"/>
        <w:pageBreakBefore/>
        <w:bidi/>
        <w:spacing w:after="240" w:before="0" w:line="360"/>
        <w:jc w:val="right"/>
      </w:pPr>
      <w:r>
        <w:rPr>
          <w:rFonts w:ascii="David" w:cs="David" w:eastAsia="David" w:hAnsi="David"/>
          <w:b/>
          <w:bCs/>
          <w:sz w:val="32"/>
          <w:szCs w:val="32"/>
          <w:rtl/>
          <w:lang w:val="en-US" w:bidi="he-IL"/>
        </w:rPr>
        <w:t xml:space="preserve">שיטת המחקר</w:t>
      </w:r>
    </w:p>
    <w:p>
      <w:pPr>
        <w:bidi/>
        <w:spacing w:after="120" w:line="360"/>
        <w:jc w:val="both"/>
      </w:pPr>
      <w:r>
        <w:rPr>
          <w:rFonts w:ascii="David" w:cs="David" w:eastAsia="David" w:hAnsi="David"/>
          <w:sz w:val="24"/>
          <w:szCs w:val="24"/>
          <w:rtl/>
          <w:lang w:val="en-US" w:bidi="he-I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ממשי. השיטה נדרשת משום שסקרי אסירים מכילים מידע רגיש שאינו ניתן למסירה לחוקרים חיצוניים. ניתוח של קובץ כזה צפוי להתנהג כמו ניתוח של הסקר הממשי, אך 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ולכן כל תוצאה בעבודה זו היא תכונה של הקובץ הסינתטי ולא ממצא על אסירים ממשיים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הקובץ המקורי הוא סקר תנאי המחיה שנערך באגפים הפליליים של שירות בתי הסוהר בין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באוקטובר ל</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בנובמבר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בסקר המקורי השתתפו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כלואים פליליים בגירים,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שהם </w:t>
      </w:r>
      <w:r>
        <w:rPr>
          <w:rFonts w:ascii="Times New Roman" w:cs="Times New Roman" w:eastAsia="Times New Roman" w:hAnsi="Times New Roman"/>
          <w:noProof/>
          <w:sz w:val="24"/>
          <w:szCs w:val="24"/>
          <w:lang w:val="en-US" w:bidi="he-IL"/>
        </w:rPr>
        <w:t xml:space="preserve">41</w:t>
      </w:r>
      <w:r>
        <w:rPr>
          <w:rFonts w:ascii="David" w:cs="David" w:eastAsia="David" w:hAnsi="David"/>
          <w:sz w:val="24"/>
          <w:szCs w:val="24"/>
          <w:rtl/>
          <w:lang w:val="en-US" w:bidi="he-IL"/>
        </w:rPr>
        <w:t xml:space="preserve"> אחוזים מכל הכלואים שהיו במצבת האסירים הפעילה באותה עת. השאלונים הועברו על ידי </w:t>
      </w:r>
      <w:r>
        <w:rPr>
          <w:rFonts w:ascii="Times New Roman" w:cs="Times New Roman" w:eastAsia="Times New Roman" w:hAnsi="Times New Roman"/>
          <w:noProof/>
          <w:sz w:val="24"/>
          <w:szCs w:val="24"/>
          <w:lang w:val="en-US" w:bidi="he-IL"/>
        </w:rPr>
        <w:t xml:space="preserve">196</w:t>
      </w:r>
      <w:r>
        <w:rPr>
          <w:rFonts w:ascii="David" w:cs="David" w:eastAsia="David" w:hAnsi="David"/>
          <w:sz w:val="24"/>
          <w:szCs w:val="24"/>
          <w:rtl/>
          <w:lang w:val="en-US" w:bidi="he-IL"/>
        </w:rPr>
        <w:t xml:space="preserve"> מנהלי אגפים וקציני חינוך, ההשתתפות הייתה אנונימית ורצונית, והמחקר אושר על ידי ועדת האתיקה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הקובץ הסינתטי כולל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שורות, מהן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-1,411</w:t>
      </w:r>
      <w:r>
        <w:rPr>
          <w:rFonts w:ascii="David" w:cs="David" w:eastAsia="David" w:hAnsi="David"/>
          <w:sz w:val="24"/>
          <w:szCs w:val="24"/>
          <w:rtl/>
          <w:lang w:val="en-US" w:bidi="he-IL"/>
        </w:rPr>
        <w:t xml:space="preserve"> עצורים; הפער הקטן מהמספרים שפורסמו נובע מתהליך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כולל את השפוטים בלבד </w:t>
      </w:r>
      <w:r>
        <w:rPr>
          <w:rFonts w:ascii="Times New Roman" w:cs="Times New Roman" w:eastAsia="Times New Roman" w:hAnsi="Times New Roman"/>
          <w:noProof/>
          <w:sz w:val="24"/>
          <w:szCs w:val="24"/>
          <w:lang w:val="en-US" w:bidi="he-IL"/>
        </w:rPr>
        <w:t xml:space="preserve">(N = 2,379)</w:t>
      </w:r>
      <w:r>
        <w:rPr>
          <w:rFonts w:ascii="David" w:cs="David" w:eastAsia="David" w:hAnsi="David"/>
          <w:sz w:val="24"/>
          <w:szCs w:val="24"/>
          <w:rtl/>
          <w:lang w:val="en-US" w:bidi="he-IL"/>
        </w:rPr>
        <w:t xml:space="preserve">. רובם המכריע גברים (</w:t>
      </w:r>
      <w:r>
        <w:rPr>
          <w:rFonts w:ascii="Times New Roman" w:cs="Times New Roman" w:eastAsia="Times New Roman" w:hAnsi="Times New Roman"/>
          <w:noProof/>
          <w:sz w:val="24"/>
          <w:szCs w:val="24"/>
          <w:lang w:val="en-US" w:bidi="he-IL"/>
        </w:rPr>
        <w:t xml:space="preserve">2,302,</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96.8</w:t>
      </w:r>
      <w:r>
        <w:rPr>
          <w:rFonts w:ascii="David" w:cs="David" w:eastAsia="David" w:hAnsi="David"/>
          <w:sz w:val="24"/>
          <w:szCs w:val="24"/>
          <w:rtl/>
          <w:lang w:val="en-US" w:bidi="he-IL"/>
        </w:rPr>
        <w:t xml:space="preserve"> אחוזים) ומיעוטם נשים (</w:t>
      </w:r>
      <w:r>
        <w:rPr>
          <w:rFonts w:ascii="Times New Roman" w:cs="Times New Roman" w:eastAsia="Times New Roman" w:hAnsi="Times New Roman"/>
          <w:noProof/>
          <w:sz w:val="24"/>
          <w:szCs w:val="24"/>
          <w:lang w:val="en-US" w:bidi="he-IL"/>
        </w:rPr>
        <w:t xml:space="preserve">77,</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3.2</w:t>
      </w:r>
      <w:r>
        <w:rPr>
          <w:rFonts w:ascii="David" w:cs="David" w:eastAsia="David" w:hAnsi="David"/>
          <w:sz w:val="24"/>
          <w:szCs w:val="24"/>
          <w:rtl/>
          <w:lang w:val="en-US" w:bidi="he-IL"/>
        </w:rPr>
        <w:t xml:space="preserve"> אחוזים). הגיל הממוצע </w:t>
      </w:r>
      <w:r>
        <w:rPr>
          <w:rFonts w:ascii="Times New Roman" w:cs="Times New Roman" w:eastAsia="Times New Roman" w:hAnsi="Times New Roman"/>
          <w:noProof/>
          <w:sz w:val="24"/>
          <w:szCs w:val="24"/>
          <w:lang w:val="en-US" w:bidi="he-IL"/>
        </w:rPr>
        <w:t xml:space="preserve">37.9</w:t>
      </w:r>
      <w:r>
        <w:rPr>
          <w:rFonts w:ascii="David" w:cs="David" w:eastAsia="David" w:hAnsi="David"/>
          <w:sz w:val="24"/>
          <w:szCs w:val="24"/>
          <w:rtl/>
          <w:lang w:val="en-US" w:bidi="he-IL"/>
        </w:rPr>
        <w:t xml:space="preserve"> שנים (סטיית תקן </w:t>
      </w:r>
      <w:r>
        <w:rPr>
          <w:rFonts w:ascii="Times New Roman" w:cs="Times New Roman" w:eastAsia="Times New Roman" w:hAnsi="Times New Roman"/>
          <w:noProof/>
          <w:sz w:val="24"/>
          <w:szCs w:val="24"/>
          <w:lang w:val="en-US" w:bidi="he-IL"/>
        </w:rPr>
        <w:t xml:space="preserve">12.0</w:t>
      </w:r>
      <w:r>
        <w:rPr>
          <w:rFonts w:ascii="David" w:cs="David" w:eastAsia="David" w:hAnsi="David"/>
          <w:sz w:val="24"/>
          <w:szCs w:val="24"/>
          <w:rtl/>
          <w:lang w:val="en-US" w:bidi="he-IL"/>
        </w:rPr>
        <w:t xml:space="preserve">), בטווח של </w:t>
      </w:r>
      <w:r>
        <w:rPr>
          <w:rFonts w:ascii="Times New Roman" w:cs="Times New Roman" w:eastAsia="Times New Roman" w:hAnsi="Times New Roman"/>
          <w:noProof/>
          <w:sz w:val="24"/>
          <w:szCs w:val="24"/>
          <w:lang w:val="en-US" w:bidi="he-IL"/>
        </w:rPr>
        <w:t xml:space="preserve">18</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82.</w:t>
      </w:r>
      <w:r>
        <w:rPr>
          <w:rFonts w:ascii="David" w:cs="David" w:eastAsia="David" w:hAnsi="David"/>
          <w:sz w:val="24"/>
          <w:szCs w:val="24"/>
          <w:rtl/>
          <w:lang w:val="en-US" w:bidi="he-IL"/>
        </w:rPr>
        <w:t xml:space="preserve"> מעט יותר ממחצית (</w:t>
      </w:r>
      <w:r>
        <w:rPr>
          <w:rFonts w:ascii="Times New Roman" w:cs="Times New Roman" w:eastAsia="Times New Roman" w:hAnsi="Times New Roman"/>
          <w:noProof/>
          <w:sz w:val="24"/>
          <w:szCs w:val="24"/>
          <w:lang w:val="en-US" w:bidi="he-IL"/>
        </w:rPr>
        <w:t xml:space="preserve">1,243,</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52.2</w:t>
      </w:r>
      <w:r>
        <w:rPr>
          <w:rFonts w:ascii="David" w:cs="David" w:eastAsia="David" w:hAnsi="David"/>
          <w:sz w:val="24"/>
          <w:szCs w:val="24"/>
          <w:rtl/>
          <w:lang w:val="en-US" w:bidi="he-IL"/>
        </w:rPr>
        <w:t xml:space="preserve"> אחוזים) לא יהודים ו</w:t>
      </w:r>
      <w:r>
        <w:rPr>
          <w:rFonts w:ascii="Times New Roman" w:cs="Times New Roman" w:eastAsia="Times New Roman" w:hAnsi="Times New Roman"/>
          <w:noProof/>
          <w:sz w:val="24"/>
          <w:szCs w:val="24"/>
          <w:lang w:val="en-US" w:bidi="he-IL"/>
        </w:rPr>
        <w:t xml:space="preserve">-1,136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47.8</w:t>
      </w:r>
      <w:r>
        <w:rPr>
          <w:rFonts w:ascii="David" w:cs="David" w:eastAsia="David" w:hAnsi="David"/>
          <w:sz w:val="24"/>
          <w:szCs w:val="24"/>
          <w:rtl/>
          <w:lang w:val="en-US" w:bidi="he-IL"/>
        </w:rPr>
        <w:t xml:space="preserve"> אחוזים) יהודים. עבור </w:t>
      </w:r>
      <w:r>
        <w:rPr>
          <w:rFonts w:ascii="Times New Roman" w:cs="Times New Roman" w:eastAsia="Times New Roman" w:hAnsi="Times New Roman"/>
          <w:noProof/>
          <w:sz w:val="24"/>
          <w:szCs w:val="24"/>
          <w:lang w:val="en-US" w:bidi="he-IL"/>
        </w:rPr>
        <w:t xml:space="preserve">1,162</w:t>
      </w:r>
      <w:r>
        <w:rPr>
          <w:rFonts w:ascii="David" w:cs="David" w:eastAsia="David" w:hAnsi="David"/>
          <w:sz w:val="24"/>
          <w:szCs w:val="24"/>
          <w:rtl/>
          <w:lang w:val="en-US" w:bidi="he-IL"/>
        </w:rPr>
        <w:t xml:space="preserve"> מהשפוטים (</w:t>
      </w:r>
      <w:r>
        <w:rPr>
          <w:rFonts w:ascii="Times New Roman" w:cs="Times New Roman" w:eastAsia="Times New Roman" w:hAnsi="Times New Roman"/>
          <w:noProof/>
          <w:sz w:val="24"/>
          <w:szCs w:val="24"/>
          <w:lang w:val="en-US" w:bidi="he-IL"/>
        </w:rPr>
        <w:t xml:space="preserve">48.8</w:t>
      </w:r>
      <w:r>
        <w:rPr>
          <w:rFonts w:ascii="David" w:cs="David" w:eastAsia="David" w:hAnsi="David"/>
          <w:sz w:val="24"/>
          <w:szCs w:val="24"/>
          <w:rtl/>
          <w:lang w:val="en-US" w:bidi="he-IL"/>
        </w:rPr>
        <w:t xml:space="preserve"> אחוזים) זהו המאסר הראשון, </w:t>
      </w:r>
      <w:r>
        <w:rPr>
          <w:rFonts w:ascii="Times New Roman" w:cs="Times New Roman" w:eastAsia="Times New Roman" w:hAnsi="Times New Roman"/>
          <w:noProof/>
          <w:sz w:val="24"/>
          <w:szCs w:val="24"/>
          <w:lang w:val="en-US" w:bidi="he-IL"/>
        </w:rPr>
        <w:t xml:space="preserve">528</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22.2</w:t>
      </w:r>
      <w:r>
        <w:rPr>
          <w:rFonts w:ascii="David" w:cs="David" w:eastAsia="David" w:hAnsi="David"/>
          <w:sz w:val="24"/>
          <w:szCs w:val="24"/>
          <w:rtl/>
          <w:lang w:val="en-US" w:bidi="he-IL"/>
        </w:rPr>
        <w:t xml:space="preserve"> אחוזים) במאסרם השני ו</w:t>
      </w:r>
      <w:r>
        <w:rPr>
          <w:rFonts w:ascii="Times New Roman" w:cs="Times New Roman" w:eastAsia="Times New Roman" w:hAnsi="Times New Roman"/>
          <w:noProof/>
          <w:sz w:val="24"/>
          <w:szCs w:val="24"/>
          <w:lang w:val="en-US" w:bidi="he-IL"/>
        </w:rPr>
        <w:t xml:space="preserve">-689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29.0</w:t>
      </w:r>
      <w:r>
        <w:rPr>
          <w:rFonts w:ascii="David" w:cs="David" w:eastAsia="David" w:hAnsi="David"/>
          <w:sz w:val="24"/>
          <w:szCs w:val="24"/>
          <w:rtl/>
          <w:lang w:val="en-US" w:bidi="he-IL"/>
        </w:rPr>
        <w:t xml:space="preserve"> אחוזים) במאסר שלישי ומעלה. רוב השפוטים (</w:t>
      </w:r>
      <w:r>
        <w:rPr>
          <w:rFonts w:ascii="Times New Roman" w:cs="Times New Roman" w:eastAsia="Times New Roman" w:hAnsi="Times New Roman"/>
          <w:noProof/>
          <w:sz w:val="24"/>
          <w:szCs w:val="24"/>
          <w:lang w:val="en-US" w:bidi="he-IL"/>
        </w:rPr>
        <w:t xml:space="preserve">1,624,</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68.3</w:t>
      </w:r>
      <w:r>
        <w:rPr>
          <w:rFonts w:ascii="David" w:cs="David" w:eastAsia="David" w:hAnsi="David"/>
          <w:sz w:val="24"/>
          <w:szCs w:val="24"/>
          <w:rtl/>
          <w:lang w:val="en-US" w:bidi="he-IL"/>
        </w:rPr>
        <w:t xml:space="preserve"> אחוזים) שוהים באגף הנוכחי יותר משלושה חודשים, </w:t>
      </w:r>
      <w:r>
        <w:rPr>
          <w:rFonts w:ascii="Times New Roman" w:cs="Times New Roman" w:eastAsia="Times New Roman" w:hAnsi="Times New Roman"/>
          <w:noProof/>
          <w:sz w:val="24"/>
          <w:szCs w:val="24"/>
          <w:lang w:val="en-US" w:bidi="he-IL"/>
        </w:rPr>
        <w:t xml:space="preserve">480</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w:t>
      </w:r>
      <w:r>
        <w:rPr>
          <w:rFonts w:ascii="David" w:cs="David" w:eastAsia="David" w:hAnsi="David"/>
          <w:sz w:val="24"/>
          <w:szCs w:val="24"/>
          <w:rtl/>
          <w:lang w:val="en-US" w:bidi="he-IL"/>
        </w:rPr>
        <w:t xml:space="preserve"> אחוזים) בין חודש לשלושה חודשים, </w:t>
      </w:r>
      <w:r>
        <w:rPr>
          <w:rFonts w:ascii="Times New Roman" w:cs="Times New Roman" w:eastAsia="Times New Roman" w:hAnsi="Times New Roman"/>
          <w:noProof/>
          <w:sz w:val="24"/>
          <w:szCs w:val="24"/>
          <w:lang w:val="en-US" w:bidi="he-IL"/>
        </w:rPr>
        <w:t xml:space="preserve">219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9.2</w:t>
      </w:r>
      <w:r>
        <w:rPr>
          <w:rFonts w:ascii="David" w:cs="David" w:eastAsia="David" w:hAnsi="David"/>
          <w:sz w:val="24"/>
          <w:szCs w:val="24"/>
          <w:rtl/>
          <w:lang w:val="en-US" w:bidi="he-IL"/>
        </w:rPr>
        <w:t xml:space="preserve"> אחוזים) בין שבוע לחודש ו</w:t>
      </w:r>
      <w:r>
        <w:rPr>
          <w:rFonts w:ascii="Times New Roman" w:cs="Times New Roman" w:eastAsia="Times New Roman" w:hAnsi="Times New Roman"/>
          <w:noProof/>
          <w:sz w:val="24"/>
          <w:szCs w:val="24"/>
          <w:lang w:val="en-US" w:bidi="he-IL"/>
        </w:rPr>
        <w:t xml:space="preserve">-56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אחוזים) פחות משבוע. </w:t>
      </w:r>
      <w:r>
        <w:rPr>
          <w:rFonts w:ascii="Times New Roman" w:cs="Times New Roman" w:eastAsia="Times New Roman" w:hAnsi="Times New Roman"/>
          <w:noProof/>
          <w:sz w:val="24"/>
          <w:szCs w:val="24"/>
          <w:lang w:val="en-US" w:bidi="he-IL"/>
        </w:rPr>
        <w:t xml:space="preserve">486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20.4</w:t>
      </w:r>
      <w:r>
        <w:rPr>
          <w:rFonts w:ascii="David" w:cs="David" w:eastAsia="David" w:hAnsi="David"/>
          <w:sz w:val="24"/>
          <w:szCs w:val="24"/>
          <w:rtl/>
          <w:lang w:val="en-US" w:bidi="he-IL"/>
        </w:rPr>
        <w:t xml:space="preserve"> אחוזים) נמצאים במסלול שיקום. ההתפלגות המלאה מובאת בלוח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בפרק הממצאים.</w:t>
      </w:r>
    </w:p>
    <w:p>
      <w:pPr>
        <w:pStyle w:val="Heading2"/>
        <w:keepNext/>
        <w:bidi/>
        <w:spacing w:after="120" w:before="240" w:line="360"/>
        <w:jc w:val="right"/>
      </w:pPr>
      <w:r>
        <w:rPr>
          <w:rFonts w:ascii="David" w:cs="David" w:eastAsia="David" w:hAnsi="David"/>
          <w:b/>
          <w:bCs/>
          <w:sz w:val="28"/>
          <w:szCs w:val="28"/>
          <w:rtl/>
          <w:lang w:val="en-US" w:bidi="he-IL"/>
        </w:rPr>
        <w:t xml:space="preserve">כלי המחקר</w:t>
      </w:r>
    </w:p>
    <w:p>
      <w:pPr>
        <w:bidi/>
        <w:spacing w:after="120" w:line="360"/>
        <w:jc w:val="both"/>
      </w:pPr>
      <w:r>
        <w:rPr>
          <w:rFonts w:ascii="David" w:cs="David" w:eastAsia="David" w:hAnsi="David"/>
          <w:sz w:val="24"/>
          <w:szCs w:val="24"/>
          <w:rtl/>
          <w:lang w:val="en-US" w:bidi="he-IL"/>
        </w:rPr>
        <w:t xml:space="preserve">כלי המחקר הוא שאלון הדיווח העצמי של סקר תנאי המחיה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השאלון נבנה על בסיס שאלון אקלים בית הסוהר של מחקר "החיים במשמורת" </w:t>
      </w:r>
      <w:r>
        <w:rPr>
          <w:rFonts w:ascii="Times New Roman" w:cs="Times New Roman" w:eastAsia="Times New Roman" w:hAnsi="Times New Roman"/>
          <w:noProof/>
          <w:sz w:val="24"/>
          <w:szCs w:val="24"/>
          <w:lang w:val="en-US" w:bidi="he-IL"/>
        </w:rPr>
        <w:t xml:space="preserve">(Life in Custody)</w:t>
      </w:r>
      <w:r>
        <w:rPr>
          <w:rFonts w:ascii="David" w:cs="David" w:eastAsia="David" w:hAnsi="David"/>
          <w:sz w:val="24"/>
          <w:szCs w:val="24"/>
          <w:rtl/>
          <w:lang w:val="en-US" w:bidi="he-IL"/>
        </w:rPr>
        <w:t xml:space="preserve"> ההולנדי, הכולל </w:t>
      </w:r>
      <w:r>
        <w:rPr>
          <w:rFonts w:ascii="Times New Roman" w:cs="Times New Roman" w:eastAsia="Times New Roman" w:hAnsi="Times New Roman"/>
          <w:noProof/>
          <w:sz w:val="24"/>
          <w:szCs w:val="24"/>
          <w:lang w:val="en-US" w:bidi="he-IL"/>
        </w:rPr>
        <w:t xml:space="preserve">136</w:t>
      </w:r>
      <w:r>
        <w:rPr>
          <w:rFonts w:ascii="David" w:cs="David" w:eastAsia="David" w:hAnsi="David"/>
          <w:sz w:val="24"/>
          <w:szCs w:val="24"/>
          <w:rtl/>
          <w:lang w:val="en-US" w:bidi="he-I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מהימנויות הנושאים בשאלון המקורי נעו בין </w:t>
      </w:r>
      <w:r>
        <w:rPr>
          <w:rFonts w:ascii="Times New Roman" w:cs="Times New Roman" w:eastAsia="Times New Roman" w:hAnsi="Times New Roman"/>
          <w:noProof/>
          <w:sz w:val="24"/>
          <w:szCs w:val="24"/>
          <w:lang w:val="en-US" w:bidi="he-IL"/>
        </w:rPr>
        <w:t xml:space="preserve">0.78</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-0.90.</w:t>
      </w:r>
      <w:r>
        <w:rPr>
          <w:rFonts w:ascii="David" w:cs="David" w:eastAsia="David" w:hAnsi="David"/>
          <w:sz w:val="24"/>
          <w:szCs w:val="24"/>
          <w:rtl/>
          <w:lang w:val="en-US" w:bidi="he-IL"/>
        </w:rPr>
        <w:t xml:space="preserve"> לצורך הסקר הישראלי נבחרו </w:t>
      </w:r>
      <w:r>
        <w:rPr>
          <w:rFonts w:ascii="Times New Roman" w:cs="Times New Roman" w:eastAsia="Times New Roman" w:hAnsi="Times New Roman"/>
          <w:noProof/>
          <w:sz w:val="24"/>
          <w:szCs w:val="24"/>
          <w:lang w:val="en-US" w:bidi="he-IL"/>
        </w:rPr>
        <w:t xml:space="preserve">39</w:t>
      </w:r>
      <w:r>
        <w:rPr>
          <w:rFonts w:ascii="David" w:cs="David" w:eastAsia="David" w:hAnsi="David"/>
          <w:sz w:val="24"/>
          <w:szCs w:val="24"/>
          <w:rtl/>
          <w:lang w:val="en-US" w:bidi="he-I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w:t>
      </w:r>
      <w:r>
        <w:rPr>
          <w:rFonts w:ascii="David" w:cs="David" w:eastAsia="David" w:hAnsi="David"/>
          <w:noProof/>
          <w:sz w:val="24"/>
          <w:szCs w:val="24"/>
          <w:rtl/>
          <w:lang w:val="en-US" w:bidi="he-IL"/>
        </w:rPr>
        <w:t xml:space="preserve">ליקרט</w:t>
      </w:r>
      <w:r>
        <w:rPr>
          <w:rFonts w:ascii="David" w:cs="David" w:eastAsia="David" w:hAnsi="David"/>
          <w:sz w:val="24"/>
          <w:szCs w:val="24"/>
          <w:rtl/>
          <w:lang w:val="en-US" w:bidi="he-IL"/>
        </w:rPr>
        <w:t xml:space="preserve">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(שביעות רצון או הסכמה נמוכה מאוד)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(גבוהה מאוד). מהימנויות תשעת הנושאים בסקר המקורי נעו בין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משתמש בשניים מהנושאים ובמשתני רקע.</w:t>
      </w:r>
    </w:p>
    <w:p>
      <w:pPr>
        <w:bidi/>
        <w:spacing w:after="120" w:line="360"/>
        <w:jc w:val="both"/>
      </w:pPr>
      <w:r>
        <w:rPr>
          <w:rFonts w:ascii="David" w:cs="David" w:eastAsia="David" w:hAnsi="David"/>
          <w:sz w:val="24"/>
          <w:szCs w:val="24"/>
          <w:rtl/>
          <w:lang w:val="en-US" w:bidi="he-I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שניים מהשלושה, וציון גבוה מבטא לגיטימיות גבוהה.</w:t>
      </w:r>
    </w:p>
    <w:p>
      <w:pPr>
        <w:bidi/>
        <w:spacing w:after="120" w:line="360"/>
        <w:jc w:val="both"/>
      </w:pPr>
      <w:r>
        <w:rPr>
          <w:rFonts w:ascii="David" w:cs="David" w:eastAsia="David" w:hAnsi="David"/>
          <w:sz w:val="24"/>
          <w:szCs w:val="24"/>
          <w:rtl/>
          <w:lang w:val="en-US" w:bidi="he-I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noProof/>
          <w:sz w:val="24"/>
          <w:szCs w:val="24"/>
          <w:lang w:val="en-US" w:bidi="he-IL"/>
        </w:rPr>
        <w:t xml:space="preserve">0.85</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0.82</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jc w:val="both"/>
      </w:pPr>
      <w:r>
        <w:rPr>
          <w:rFonts w:ascii="David" w:cs="David" w:eastAsia="David" w:hAnsi="David"/>
          <w:sz w:val="24"/>
          <w:szCs w:val="24"/>
          <w:rtl/>
          <w:lang w:val="en-US" w:bidi="he-I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ניתוחים סטטיסטיים</w:t>
      </w:r>
    </w:p>
    <w:p>
      <w:pPr>
        <w:bidi/>
        <w:spacing w:after="120" w:line="360"/>
        <w:jc w:val="both"/>
      </w:pPr>
      <w:r>
        <w:rPr>
          <w:rFonts w:ascii="David" w:cs="David" w:eastAsia="David" w:hAnsi="David"/>
          <w:sz w:val="24"/>
          <w:szCs w:val="24"/>
          <w:rtl/>
          <w:lang w:val="en-US" w:bidi="he-IL"/>
        </w:rPr>
        <w:t xml:space="preserve">הנתונים נותחו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ולאחר מכן חושבו ציוני הסולמות ונבדקו התפלגויותיהם, כולל מבחני נורמליות. בשלב השלישי חושב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בין הרווחה הנפשית ללגיטימיות, ובשל ההתפלגות המוטה של הלגיטימיות חושב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noProof/>
          <w:sz w:val="24"/>
          <w:szCs w:val="24"/>
          <w:lang w:val="en-US" w:bidi="he-IL"/>
        </w:rPr>
        <w:t xml:space="preserve">p &lt; 0.05</w:t>
      </w:r>
      <w:r>
        <w:rPr>
          <w:rFonts w:ascii="David" w:cs="David" w:eastAsia="David" w:hAnsi="David"/>
          <w:sz w:val="24"/>
          <w:szCs w:val="24"/>
          <w:rtl/>
          <w:lang w:val="en-US" w:bidi="he-I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ממצאים</w:t>
      </w:r>
    </w:p>
    <w:p>
      <w:pPr>
        <w:bidi/>
        <w:spacing w:after="120" w:line="360"/>
        <w:jc w:val="both"/>
      </w:pPr>
      <w:r>
        <w:rPr>
          <w:rFonts w:ascii="David" w:cs="David" w:eastAsia="David" w:hAnsi="David"/>
          <w:sz w:val="24"/>
          <w:szCs w:val="24"/>
          <w:rtl/>
          <w:lang w:val="en-US" w:bidi="he-I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1</w:t>
      </w:r>
      <w:r>
        <w:rPr>
          <w:rFonts w:ascii="David" w:cs="David" w:eastAsia="David" w:hAnsi="David"/>
          <w:b/>
          <w:bCs/>
          <w:sz w:val="24"/>
          <w:szCs w:val="24"/>
          <w:rtl/>
          <w:lang w:val="en-US" w:bidi="he-I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100.0</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עולה כי כמעט שני שלישים מהמשיבים הם שפוטים, בדומה לשיעור של </w:t>
      </w:r>
      <w:r>
        <w:rPr>
          <w:rFonts w:ascii="Times New Roman" w:cs="Times New Roman" w:eastAsia="Times New Roman" w:hAnsi="Times New Roman"/>
          <w:noProof/>
          <w:sz w:val="24"/>
          <w:szCs w:val="24"/>
          <w:lang w:val="en-US" w:bidi="he-IL"/>
        </w:rPr>
        <w:t xml:space="preserve">62.3</w:t>
      </w:r>
      <w:r>
        <w:rPr>
          <w:rFonts w:ascii="David" w:cs="David" w:eastAsia="David" w:hAnsi="David"/>
          <w:sz w:val="24"/>
          <w:szCs w:val="24"/>
          <w:rtl/>
          <w:lang w:val="en-US" w:bidi="he-IL"/>
        </w:rPr>
        <w:t xml:space="preserve"> אחוזים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כל הניתוחים מכאן ואילך נערכו על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השפוטים בלבד. 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מציג את מאפייני הרקע שלהם.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2</w:t>
      </w:r>
      <w:r>
        <w:rPr>
          <w:rFonts w:ascii="David" w:cs="David" w:eastAsia="David" w:hAnsi="David"/>
          <w:b/>
          <w:bCs/>
          <w:sz w:val="24"/>
          <w:szCs w:val="24"/>
          <w:rtl/>
          <w:lang w:val="en-US" w:bidi="he-IL"/>
        </w:rPr>
        <w:t xml:space="preserve">: מאפייני הרקע של השפוטים </w:t>
      </w:r>
      <w:r>
        <w:rPr>
          <w:rFonts w:ascii="Times New Roman" w:cs="Times New Roman" w:eastAsia="Times New Roman" w:hAnsi="Times New Roman"/>
          <w:b/>
          <w:bCs/>
          <w:noProof/>
          <w:sz w:val="24"/>
          <w:szCs w:val="24"/>
          <w:lang w:val="en-US" w:bidi="he-IL"/>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18</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40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60</w:t>
            </w:r>
            <w:r>
              <w:rPr>
                <w:rFonts w:ascii="David" w:cs="David" w:eastAsia="David" w:hAnsi="David"/>
                <w:b w:val="false"/>
                <w:bCs w:val="false"/>
                <w:sz w:val="22"/>
                <w:szCs w:val="22"/>
                <w:rtl/>
                <w:lang w:val="en-US" w:bidi="he-I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79.6</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ניתן ללמוד כי אוכלוסיית השפוטים היא בעיקרה גברים בגילי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59,</w:t>
      </w:r>
      <w:r>
        <w:rPr>
          <w:rFonts w:ascii="David" w:cs="David" w:eastAsia="David" w:hAnsi="David"/>
          <w:sz w:val="24"/>
          <w:szCs w:val="24"/>
          <w:rtl/>
          <w:lang w:val="en-US" w:bidi="he-I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סטטיסטיקה תיאורית של הפריטים</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3</w:t>
      </w:r>
      <w:r>
        <w:rPr>
          <w:rFonts w:ascii="David" w:cs="David" w:eastAsia="David" w:hAnsi="David"/>
          <w:b/>
          <w:bCs/>
          <w:sz w:val="24"/>
          <w:szCs w:val="24"/>
          <w:rtl/>
          <w:lang w:val="en-US" w:bidi="he-I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w:t>
            </w:r>
          </w:p>
        </w:tc>
      </w:tr>
    </w:tbl>
    <w:p>
      <w:pPr>
        <w:bidi/>
        <w:spacing w:after="200" w:before="60" w:line="276"/>
        <w:jc w:val="right"/>
      </w:pPr>
      <w:r>
        <w:rPr>
          <w:rFonts w:ascii="David" w:cs="David" w:eastAsia="David" w:hAnsi="David"/>
          <w:sz w:val="20"/>
          <w:szCs w:val="20"/>
          <w:rtl/>
          <w:lang w:val="en-US" w:bidi="he-IL"/>
        </w:rPr>
        <w:t xml:space="preserve">הערה. כל הפריטים נמדדו בסולם של </w:t>
      </w:r>
      <w:r>
        <w:rPr>
          <w:rFonts w:ascii="Times New Roman" w:cs="Times New Roman" w:eastAsia="Times New Roman" w:hAnsi="Times New Roman"/>
          <w:noProof/>
          <w:sz w:val="20"/>
          <w:szCs w:val="20"/>
          <w:lang w:val="en-US" w:bidi="he-IL"/>
        </w:rPr>
        <w:t xml:space="preserve">1</w:t>
      </w:r>
      <w:r>
        <w:rPr>
          <w:rFonts w:ascii="David" w:cs="David" w:eastAsia="David" w:hAnsi="David"/>
          <w:sz w:val="20"/>
          <w:szCs w:val="20"/>
          <w:rtl/>
          <w:lang w:val="en-US" w:bidi="he-IL"/>
        </w:rPr>
        <w:t xml:space="preserve"> עד </w:t>
      </w:r>
      <w:r>
        <w:rPr>
          <w:rFonts w:ascii="Times New Roman" w:cs="Times New Roman" w:eastAsia="Times New Roman" w:hAnsi="Times New Roman"/>
          <w:noProof/>
          <w:sz w:val="20"/>
          <w:szCs w:val="20"/>
          <w:lang w:val="en-US" w:bidi="he-IL"/>
        </w:rPr>
        <w:t xml:space="preserve">5.</w:t>
      </w:r>
      <w:r>
        <w:rPr>
          <w:rFonts w:ascii="David" w:cs="David" w:eastAsia="David" w:hAnsi="David"/>
          <w:sz w:val="20"/>
          <w:szCs w:val="20"/>
          <w:rtl/>
          <w:lang w:val="en-US" w:bidi="he-IL"/>
        </w:rPr>
        <w:t xml:space="preserve"> מקור: פלט </w:t>
      </w:r>
      <w:r>
        <w:rPr>
          <w:rFonts w:ascii="Times New Roman" w:cs="Times New Roman" w:eastAsia="Times New Roman" w:hAnsi="Times New Roman"/>
          <w:noProof/>
          <w:sz w:val="20"/>
          <w:szCs w:val="20"/>
          <w:lang w:val="en-US" w:bidi="he-IL"/>
        </w:rPr>
        <w:t xml:space="preserve">Frequencies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noProof/>
          <w:sz w:val="24"/>
          <w:szCs w:val="24"/>
          <w:lang w:val="en-US" w:bidi="he-IL"/>
        </w:rPr>
        <w:t xml:space="preserve">4.44</w:t>
      </w:r>
      <w:r>
        <w:rPr>
          <w:rFonts w:ascii="David" w:cs="David" w:eastAsia="David" w:hAnsi="David"/>
          <w:sz w:val="24"/>
          <w:szCs w:val="24"/>
          <w:rtl/>
          <w:lang w:val="en-US" w:bidi="he-I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noProof/>
          <w:sz w:val="24"/>
          <w:szCs w:val="24"/>
          <w:lang w:val="en-US" w:bidi="he-IL"/>
        </w:rPr>
        <w:t xml:space="preserve">3.58</w:t>
      </w:r>
      <w:r>
        <w:rPr>
          <w:rFonts w:ascii="David" w:cs="David" w:eastAsia="David" w:hAnsi="David"/>
          <w:sz w:val="24"/>
          <w:szCs w:val="24"/>
          <w:rtl/>
          <w:lang w:val="en-US" w:bidi="he-I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-4.4</w:t>
      </w:r>
      <w:r>
        <w:rPr>
          <w:rFonts w:ascii="David" w:cs="David" w:eastAsia="David" w:hAnsi="David"/>
          <w:sz w:val="24"/>
          <w:szCs w:val="24"/>
          <w:rtl/>
          <w:lang w:val="en-US" w:bidi="he-IL"/>
        </w:rPr>
        <w:t xml:space="preserve"> וממוצע פריטי הבריאות והרווחה בין </w:t>
      </w:r>
      <w:r>
        <w:rPr>
          <w:rFonts w:ascii="Times New Roman" w:cs="Times New Roman" w:eastAsia="Times New Roman" w:hAnsi="Times New Roman"/>
          <w:noProof/>
          <w:sz w:val="24"/>
          <w:szCs w:val="24"/>
          <w:lang w:val="en-US" w:bidi="he-IL"/>
        </w:rPr>
        <w:t xml:space="preserve">3.6</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לפריט הטיפול בבקשות </w:t>
      </w:r>
      <w:r>
        <w:rPr>
          <w:rFonts w:ascii="Times New Roman" w:cs="Times New Roman" w:eastAsia="Times New Roman" w:hAnsi="Times New Roman"/>
          <w:noProof/>
          <w:sz w:val="24"/>
          <w:szCs w:val="24"/>
          <w:lang w:val="en-US" w:bidi="he-IL"/>
        </w:rPr>
        <w:t xml:space="preserve">227</w:t>
      </w:r>
      <w:r>
        <w:rPr>
          <w:rFonts w:ascii="David" w:cs="David" w:eastAsia="David" w:hAnsi="David"/>
          <w:sz w:val="24"/>
          <w:szCs w:val="24"/>
          <w:rtl/>
          <w:lang w:val="en-US" w:bidi="he-I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lang w:val="en-US" w:bidi="he-IL"/>
        </w:rPr>
        <w:t xml:space="preserve">מהימנות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מציג את הרכב שני הסולמות, מקדמי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ומתאמי הפריט עם יתר הסולם.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4</w:t>
      </w:r>
      <w:r>
        <w:rPr>
          <w:rFonts w:ascii="David" w:cs="David" w:eastAsia="David" w:hAnsi="David"/>
          <w:b/>
          <w:bCs/>
          <w:sz w:val="24"/>
          <w:szCs w:val="24"/>
          <w:rtl/>
          <w:lang w:val="en-US" w:bidi="he-I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2,114</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2,379</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lang w:val="en-US" w:bidi="he-IL"/>
        </w:rPr>
        <w:t xml:space="preserve">הערה. מתאמים בין פריטי הלגיטימיות: </w:t>
      </w:r>
      <w:r>
        <w:rPr>
          <w:rFonts w:ascii="Times New Roman" w:cs="Times New Roman" w:eastAsia="Times New Roman" w:hAnsi="Times New Roman"/>
          <w:noProof/>
          <w:sz w:val="20"/>
          <w:szCs w:val="20"/>
          <w:lang w:val="en-US" w:bidi="he-IL"/>
        </w:rPr>
        <w:t xml:space="preserve">0.55</w:t>
      </w:r>
      <w:r>
        <w:rPr>
          <w:rFonts w:ascii="David" w:cs="David" w:eastAsia="David" w:hAnsi="David"/>
          <w:sz w:val="20"/>
          <w:szCs w:val="20"/>
          <w:rtl/>
          <w:lang w:val="en-US" w:bidi="he-IL"/>
        </w:rPr>
        <w:t xml:space="preserve"> (דיבור עם סוהרים וכבוד), </w:t>
      </w:r>
      <w:r>
        <w:rPr>
          <w:rFonts w:ascii="Times New Roman" w:cs="Times New Roman" w:eastAsia="Times New Roman" w:hAnsi="Times New Roman"/>
          <w:noProof/>
          <w:sz w:val="20"/>
          <w:szCs w:val="20"/>
          <w:lang w:val="en-US" w:bidi="he-IL"/>
        </w:rPr>
        <w:t xml:space="preserve">0.33</w:t>
      </w:r>
      <w:r>
        <w:rPr>
          <w:rFonts w:ascii="David" w:cs="David" w:eastAsia="David" w:hAnsi="David"/>
          <w:sz w:val="20"/>
          <w:szCs w:val="20"/>
          <w:rtl/>
          <w:lang w:val="en-US" w:bidi="he-IL"/>
        </w:rPr>
        <w:t xml:space="preserve"> (דיבור ובקשות), </w:t>
      </w:r>
      <w:r>
        <w:rPr>
          <w:rFonts w:ascii="Times New Roman" w:cs="Times New Roman" w:eastAsia="Times New Roman" w:hAnsi="Times New Roman"/>
          <w:noProof/>
          <w:sz w:val="20"/>
          <w:szCs w:val="20"/>
          <w:lang w:val="en-US" w:bidi="he-IL"/>
        </w:rPr>
        <w:t xml:space="preserve">0.37</w:t>
      </w:r>
      <w:r>
        <w:rPr>
          <w:rFonts w:ascii="David" w:cs="David" w:eastAsia="David" w:hAnsi="David"/>
          <w:sz w:val="20"/>
          <w:szCs w:val="20"/>
          <w:rtl/>
          <w:lang w:val="en-US" w:bidi="he-IL"/>
        </w:rPr>
        <w:t xml:space="preserve"> (כבוד ובקשות). מקור: פלט </w:t>
      </w:r>
      <w:r>
        <w:rPr>
          <w:rFonts w:ascii="Times New Roman" w:cs="Times New Roman" w:eastAsia="Times New Roman" w:hAnsi="Times New Roman"/>
          <w:noProof/>
          <w:sz w:val="20"/>
          <w:szCs w:val="20"/>
          <w:lang w:val="en-US" w:bidi="he-IL"/>
        </w:rPr>
        <w:t xml:space="preserve">Reliability</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ניתן ללמוד כי סולם הרווחה הנפשית מהימן (α =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מהסף המקובל של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אך זהה למהימנות שדווחה לקובץ הסינתטי וקרובה ל</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שנמצאה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לסולם שלושה פריטים בלבד, ומקדם אלפא רגיש למספר הפריטים. שני הפריטים העוסקים ביחס הישיר של הסוהרים, האפשרות לדבר עימם והיחס המכבד, קשורים זה לזה בחוזקה (</w:t>
      </w:r>
      <w:r>
        <w:rPr>
          <w:rFonts w:ascii="Times New Roman" w:cs="Times New Roman" w:eastAsia="Times New Roman" w:hAnsi="Times New Roman"/>
          <w:noProof/>
          <w:sz w:val="24"/>
          <w:szCs w:val="24"/>
          <w:lang w:val="en-US" w:bidi="he-IL"/>
        </w:rPr>
        <w:t xml:space="preserve">0.55</w:t>
      </w:r>
      <w:r>
        <w:rPr>
          <w:rFonts w:ascii="David" w:cs="David" w:eastAsia="David" w:hAnsi="David"/>
          <w:sz w:val="24"/>
          <w:szCs w:val="24"/>
          <w:rtl/>
          <w:lang w:val="en-US" w:bidi="he-IL"/>
        </w:rPr>
        <w:t xml:space="preserve">), ואילו פריט הטיפול בבקשות קשור אליהם פחות, והסרתו הייתה מעלה את מקדם אלפא ל</w:t>
      </w:r>
      <w:r>
        <w:rPr>
          <w:rFonts w:ascii="Times New Roman" w:cs="Times New Roman" w:eastAsia="Times New Roman" w:hAnsi="Times New Roman"/>
          <w:noProof/>
          <w:sz w:val="24"/>
          <w:szCs w:val="24"/>
          <w:lang w:val="en-US" w:bidi="he-IL"/>
        </w:rPr>
        <w:t xml:space="preserve">-0.69.</w:t>
      </w:r>
      <w:r>
        <w:rPr>
          <w:rFonts w:ascii="David" w:cs="David" w:eastAsia="David" w:hAnsi="David"/>
          <w:sz w:val="24"/>
          <w:szCs w:val="24"/>
          <w:rtl/>
          <w:lang w:val="en-US" w:bidi="he-IL"/>
        </w:rPr>
        <w:t xml:space="preserve"> הוחלט להשאירו, משום שהטיפול בבקשות הוא ליבת ההוגנות הפרוצדורלית אצל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lang w:val="en-US" w:bidi="he-IL"/>
        </w:rPr>
        <w:t xml:space="preserve">ממוצעי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5</w:t>
      </w:r>
      <w:r>
        <w:rPr>
          <w:rFonts w:ascii="David" w:cs="David" w:eastAsia="David" w:hAnsi="David"/>
          <w:b/>
          <w:bCs/>
          <w:sz w:val="24"/>
          <w:szCs w:val="24"/>
          <w:rtl/>
          <w:lang w:val="en-US" w:bidi="he-I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-0.01</w:t>
            </w:r>
          </w:p>
        </w:tc>
      </w:tr>
    </w:tbl>
    <w:p>
      <w:pPr>
        <w:bidi/>
        <w:spacing w:after="200" w:before="60" w:line="276"/>
        <w:jc w:val="right"/>
      </w:pPr>
      <w:r>
        <w:rPr>
          <w:rFonts w:ascii="David" w:cs="David" w:eastAsia="David" w:hAnsi="David"/>
          <w:sz w:val="20"/>
          <w:szCs w:val="20"/>
          <w:rtl/>
          <w:lang w:val="en-US" w:bidi="he-IL"/>
        </w:rPr>
        <w:t xml:space="preserve">הערה. מבחני </w:t>
      </w:r>
      <w:r>
        <w:rPr>
          <w:rFonts w:ascii="David" w:cs="David" w:eastAsia="David" w:hAnsi="David"/>
          <w:noProof/>
          <w:sz w:val="20"/>
          <w:szCs w:val="20"/>
          <w:rtl/>
          <w:lang w:val="en-US" w:bidi="he-IL"/>
        </w:rPr>
        <w:t xml:space="preserve">קולמוגורוב-סמירנוב</w:t>
      </w:r>
      <w:r>
        <w:rPr>
          <w:rFonts w:ascii="David" w:cs="David" w:eastAsia="David" w:hAnsi="David"/>
          <w:sz w:val="20"/>
          <w:szCs w:val="20"/>
          <w:rtl/>
          <w:lang w:val="en-US" w:bidi="he-IL"/>
        </w:rPr>
        <w:t xml:space="preserve"> </w:t>
      </w:r>
      <w:r>
        <w:rPr>
          <w:rFonts w:ascii="David" w:cs="David" w:eastAsia="David" w:hAnsi="David"/>
          <w:noProof/>
          <w:sz w:val="20"/>
          <w:szCs w:val="20"/>
          <w:rtl/>
          <w:lang w:val="en-US" w:bidi="he-IL"/>
        </w:rPr>
        <w:t xml:space="preserve">ושפירו-וילק</w:t>
      </w:r>
      <w:r>
        <w:rPr>
          <w:rFonts w:ascii="David" w:cs="David" w:eastAsia="David" w:hAnsi="David"/>
          <w:sz w:val="20"/>
          <w:szCs w:val="20"/>
          <w:rtl/>
          <w:lang w:val="en-US" w:bidi="he-IL"/>
        </w:rPr>
        <w:t xml:space="preserve"> מובהקים לשני המשתנים </w:t>
      </w:r>
      <w:r>
        <w:rPr>
          <w:rFonts w:ascii="Times New Roman" w:cs="Times New Roman" w:eastAsia="Times New Roman" w:hAnsi="Times New Roman"/>
          <w:noProof/>
          <w:sz w:val="20"/>
          <w:szCs w:val="20"/>
          <w:lang w:val="en-US" w:bidi="he-IL"/>
        </w:rPr>
        <w:t xml:space="preserve">(p &lt; 0.001)</w:t>
      </w:r>
      <w:r>
        <w:rPr>
          <w:rFonts w:ascii="David" w:cs="David" w:eastAsia="David" w:hAnsi="David"/>
          <w:sz w:val="20"/>
          <w:szCs w:val="20"/>
          <w:rtl/>
          <w:lang w:val="en-US" w:bidi="he-IL"/>
        </w:rPr>
        <w:t xml:space="preserve">. מקור: פלטי </w:t>
      </w:r>
      <w:r>
        <w:rPr>
          <w:rFonts w:ascii="Times New Roman" w:cs="Times New Roman" w:eastAsia="Times New Roman" w:hAnsi="Times New Roman"/>
          <w:noProof/>
          <w:sz w:val="20"/>
          <w:szCs w:val="20"/>
          <w:lang w:val="en-US" w:bidi="he-IL"/>
        </w:rPr>
        <w:t xml:space="preserve">Descriptives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Explore</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עולה כי ממוצע הלגיטימיות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גבוה ומתקרב לתקרת הסולם, בעוד ממוצע הרווחה הנפשית (</w:t>
      </w:r>
      <w:r>
        <w:rPr>
          <w:rFonts w:ascii="Times New Roman" w:cs="Times New Roman" w:eastAsia="Times New Roman" w:hAnsi="Times New Roman"/>
          <w:noProof/>
          <w:sz w:val="24"/>
          <w:szCs w:val="24"/>
          <w:lang w:val="en-US" w:bidi="he-IL"/>
        </w:rPr>
        <w:t xml:space="preserve">3.78</w:t>
      </w:r>
      <w:r>
        <w:rPr>
          <w:rFonts w:ascii="David" w:cs="David" w:eastAsia="David" w:hAnsi="David"/>
          <w:sz w:val="24"/>
          <w:szCs w:val="24"/>
          <w:rtl/>
          <w:lang w:val="en-US" w:bidi="he-I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noProof/>
          <w:sz w:val="24"/>
          <w:szCs w:val="24"/>
          <w:lang w:val="en-US" w:bidi="he-IL"/>
        </w:rPr>
        <w:t xml:space="preserve">4.28</w:t>
      </w:r>
      <w:r>
        <w:rPr>
          <w:rFonts w:ascii="David" w:cs="David" w:eastAsia="David" w:hAnsi="David"/>
          <w:sz w:val="24"/>
          <w:szCs w:val="24"/>
          <w:rtl/>
          <w:lang w:val="en-US" w:bidi="he-IL"/>
        </w:rPr>
        <w:t xml:space="preserve"> ללגיטימיות ו</w:t>
      </w:r>
      <w:r>
        <w:rPr>
          <w:rFonts w:ascii="Times New Roman" w:cs="Times New Roman" w:eastAsia="Times New Roman" w:hAnsi="Times New Roman"/>
          <w:noProof/>
          <w:sz w:val="24"/>
          <w:szCs w:val="24"/>
          <w:lang w:val="en-US" w:bidi="he-IL"/>
        </w:rPr>
        <w:t xml:space="preserve">-3.84</w:t>
      </w:r>
      <w:r>
        <w:rPr>
          <w:rFonts w:ascii="David" w:cs="David" w:eastAsia="David" w:hAnsi="David"/>
          <w:sz w:val="24"/>
          <w:szCs w:val="24"/>
          <w:rtl/>
          <w:lang w:val="en-US" w:bidi="he-IL"/>
        </w:rPr>
        <w:t xml:space="preserve"> לבריאות ולרווחה נפשית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עדיין תקף, אך כדי לחזק את הביטחון בממצא חושב לצדו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הקשר בין רווחה נפשית ללגיטימיות</w:t>
      </w:r>
    </w:p>
    <w:p>
      <w:pPr>
        <w:bidi/>
        <w:spacing w:after="120" w:line="360"/>
        <w:jc w:val="both"/>
      </w:pPr>
      <w:r>
        <w:rPr>
          <w:rFonts w:ascii="David" w:cs="David" w:eastAsia="David" w:hAnsi="David"/>
          <w:sz w:val="24"/>
          <w:szCs w:val="24"/>
          <w:rtl/>
          <w:lang w:val="en-US" w:bidi="he-IL"/>
        </w:rPr>
        <w:t xml:space="preserve">כדי לבחון את השערת המחקר חושבו מתאמי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וספירמן</w:t>
      </w:r>
      <w:r>
        <w:rPr>
          <w:rFonts w:ascii="David" w:cs="David" w:eastAsia="David" w:hAnsi="David"/>
          <w:sz w:val="24"/>
          <w:szCs w:val="24"/>
          <w:rtl/>
          <w:lang w:val="en-US" w:bidi="he-IL"/>
        </w:rPr>
        <w:t xml:space="preserve"> בין ציון הרווחה הנפשית לציון הלגיטימיות, וכן מתאמי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בין הרווחה לכל אחד מפריטי הלגיטימיות. 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מציג את התוצאות.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6</w:t>
      </w:r>
      <w:r>
        <w:rPr>
          <w:rFonts w:ascii="David" w:cs="David" w:eastAsia="David" w:hAnsi="David"/>
          <w:b/>
          <w:bCs/>
          <w:sz w:val="24"/>
          <w:szCs w:val="24"/>
          <w:rtl/>
          <w:lang w:val="en-US" w:bidi="he-IL"/>
        </w:rPr>
        <w:t xml:space="preserve">: מתאמים בין רווחה נפשית לבין לגיטימיות הסגל ופריטיה </w:t>
      </w:r>
      <w:r>
        <w:rPr>
          <w:rFonts w:ascii="Times New Roman" w:cs="Times New Roman" w:eastAsia="Times New Roman" w:hAnsi="Times New Roman"/>
          <w:b/>
          <w:bCs/>
          <w:noProof/>
          <w:sz w:val="24"/>
          <w:szCs w:val="24"/>
          <w:lang w:val="en-US" w:bidi="he-IL"/>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פירסון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ספירמן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bidi/>
        <w:spacing w:after="200" w:before="60" w:line="276"/>
        <w:jc w:val="right"/>
      </w:pPr>
      <w:r>
        <w:rPr>
          <w:rFonts w:ascii="David" w:cs="David" w:eastAsia="David" w:hAnsi="David"/>
          <w:sz w:val="20"/>
          <w:szCs w:val="20"/>
          <w:rtl/>
          <w:lang w:val="en-US" w:bidi="he-IL"/>
        </w:rPr>
        <w:t xml:space="preserve">מקור: פלטי </w:t>
      </w:r>
      <w:r>
        <w:rPr>
          <w:rFonts w:ascii="Times New Roman" w:cs="Times New Roman" w:eastAsia="Times New Roman" w:hAnsi="Times New Roman"/>
          <w:noProof/>
          <w:sz w:val="20"/>
          <w:szCs w:val="20"/>
          <w:lang w:val="en-US" w:bidi="he-IL"/>
        </w:rPr>
        <w:t xml:space="preserve">Correlations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Nonparametric Correlations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ניתן ללמוד כי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ככל שהשפוט מדווח על רווחה נפשית גבוהה יותר, כך הוא מייחס לסגל לגיטימיות גבוהה יותר, ולהפך.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0.34</w:t>
      </w:r>
      <w:r>
        <w:rPr>
          <w:rFonts w:ascii="David" w:cs="David" w:eastAsia="David" w:hAnsi="David"/>
          <w:sz w:val="24"/>
          <w:szCs w:val="24"/>
          <w:rtl/>
          <w:lang w:val="en-US" w:bidi="he-IL"/>
        </w:rPr>
        <w:t xml:space="preserve">) קרוב מאוד למתאם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noProof/>
          <w:sz w:val="24"/>
          <w:szCs w:val="24"/>
          <w:lang w:val="en-US" w:bidi="he-IL"/>
        </w:rPr>
        <w:t xml:space="preserve">0.29</w:t>
      </w:r>
      <w:r>
        <w:rPr>
          <w:rFonts w:ascii="David" w:cs="David" w:eastAsia="David" w:hAnsi="David"/>
          <w:sz w:val="24"/>
          <w:szCs w:val="24"/>
          <w:rtl/>
          <w:lang w:val="en-US" w:bidi="he-IL"/>
        </w:rPr>
        <w:t xml:space="preserve">). ממצא זה מתיישב עם הדגש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השערת המחקר אוששה. 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7</w:t>
      </w:r>
      <w:r>
        <w:rPr>
          <w:rFonts w:ascii="David" w:cs="David" w:eastAsia="David" w:hAnsi="David"/>
          <w:b/>
          <w:bCs/>
          <w:sz w:val="24"/>
          <w:szCs w:val="24"/>
          <w:rtl/>
          <w:lang w:val="en-US" w:bidi="he-IL"/>
        </w:rPr>
        <w:t xml:space="preserve">: ממוצע הרווחה הנפשית לפי רמת הלגיטימיות </w:t>
      </w:r>
      <w:r>
        <w:rPr>
          <w:rFonts w:ascii="Times New Roman" w:cs="Times New Roman" w:eastAsia="Times New Roman" w:hAnsi="Times New Roman"/>
          <w:b/>
          <w:bCs/>
          <w:noProof/>
          <w:sz w:val="24"/>
          <w:szCs w:val="24"/>
          <w:lang w:val="en-US" w:bidi="he-IL"/>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עד </w:t>
            </w:r>
            <w:r>
              <w:rPr>
                <w:rFonts w:ascii="Times New Roman" w:cs="Times New Roman" w:eastAsia="Times New Roman" w:hAnsi="Times New Roman"/>
                <w:b w:val="false"/>
                <w:bCs w:val="false"/>
                <w:noProof/>
                <w:sz w:val="22"/>
                <w:szCs w:val="22"/>
                <w:lang w:val="en-US" w:bidi="he-IL"/>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3.51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noProof/>
          <w:sz w:val="24"/>
          <w:szCs w:val="24"/>
          <w:lang w:val="en-US" w:bidi="he-IL"/>
        </w:rPr>
        <w:t xml:space="preserve">3.34,</w:t>
      </w:r>
      <w:r>
        <w:rPr>
          <w:rFonts w:ascii="David" w:cs="David" w:eastAsia="David" w:hAnsi="David"/>
          <w:sz w:val="24"/>
          <w:szCs w:val="24"/>
          <w:rtl/>
          <w:lang w:val="en-US" w:bidi="he-IL"/>
        </w:rPr>
        <w:t xml:space="preserve"> ואילו אלו ברמה הגבוהה על </w:t>
      </w:r>
      <w:r>
        <w:rPr>
          <w:rFonts w:ascii="Times New Roman" w:cs="Times New Roman" w:eastAsia="Times New Roman" w:hAnsi="Times New Roman"/>
          <w:noProof/>
          <w:sz w:val="24"/>
          <w:szCs w:val="24"/>
          <w:lang w:val="en-US" w:bidi="he-IL"/>
        </w:rPr>
        <w:t xml:space="preserve">4.05,</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שהוא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לשם השוואה, אצל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jc w:val="both"/>
      </w:pPr>
      <w:r>
        <w:rPr>
          <w:rFonts w:ascii="David" w:cs="David" w:eastAsia="David" w:hAnsi="David"/>
          <w:sz w:val="24"/>
          <w:szCs w:val="24"/>
          <w:rtl/>
          <w:lang w:val="en-US" w:bidi="he-IL"/>
        </w:rPr>
        <w:t xml:space="preserve">המדרג שבלוח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מאפשר גם להעריך את גודל האפקט במונחים מוכרים: מתאם של </w:t>
      </w:r>
      <w:r>
        <w:rPr>
          <w:rFonts w:ascii="Times New Roman" w:cs="Times New Roman" w:eastAsia="Times New Roman" w:hAnsi="Times New Roman"/>
          <w:noProof/>
          <w:sz w:val="24"/>
          <w:szCs w:val="24"/>
          <w:lang w:val="en-US" w:bidi="he-IL"/>
        </w:rPr>
        <w:t xml:space="preserve">0.32</w:t>
      </w:r>
      <w:r>
        <w:rPr>
          <w:rFonts w:ascii="David" w:cs="David" w:eastAsia="David" w:hAnsi="David"/>
          <w:sz w:val="24"/>
          <w:szCs w:val="24"/>
          <w:rtl/>
          <w:lang w:val="en-US" w:bidi="he-IL"/>
        </w:rPr>
        <w:t xml:space="preserve"> פירושו שהרווחה הנפשית והלגיטימיות חולקות כעשרה אחוזים מהשונות. זהו קשר בינוני, קרוב בחוזקו לקשרים שנמצאו בין מאפייני האסיר ללגיטימיות באנגליה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lang w:val="en-US" w:bidi="he-IL"/>
        </w:rPr>
        <w:t xml:space="preserve">דיון</w:t>
      </w:r>
    </w:p>
    <w:p>
      <w:pPr>
        <w:pStyle w:val="Heading2"/>
        <w:keepNext/>
        <w:bidi/>
        <w:spacing w:after="120" w:before="240" w:line="360"/>
        <w:jc w:val="right"/>
      </w:pPr>
      <w:r>
        <w:rPr>
          <w:rFonts w:ascii="David" w:cs="David" w:eastAsia="David" w:hAnsi="David"/>
          <w:b/>
          <w:bCs/>
          <w:sz w:val="28"/>
          <w:szCs w:val="28"/>
          <w:rtl/>
          <w:lang w:val="en-US" w:bidi="he-IL"/>
        </w:rPr>
        <w:t xml:space="preserve">רקע למחקר</w:t>
      </w:r>
    </w:p>
    <w:p>
      <w:pPr>
        <w:bidi/>
        <w:spacing w:after="120" w:line="360"/>
        <w:jc w:val="both"/>
      </w:pPr>
      <w:r>
        <w:rPr>
          <w:rFonts w:ascii="David" w:cs="David" w:eastAsia="David" w:hAnsi="David"/>
          <w:sz w:val="24"/>
          <w:szCs w:val="24"/>
          <w:rtl/>
          <w:lang w:val="en-US" w:bidi="he-I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שלפיה הציות לסמכות נובע מתפיסתה כהוגנת, ועל ספרות ההסתגלות למאסר שתיארה את הפגיעה ברווחה הנפשית כחלק בלתי נפרד מחוויית הכליאה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הנתונים נלקחו מקובץ סינתטי המבוסס על סקר תנאי המחיה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שני ממצאים עיקריים עלו. ראשית, נמצא קשר חיובי מובהק ברמה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lang w:val="en-US" w:bidi="he-IL"/>
        </w:rPr>
        <w:t xml:space="preserve">רווחה נפשית ולגיטימיות</w:t>
      </w:r>
    </w:p>
    <w:p>
      <w:pPr>
        <w:bidi/>
        <w:spacing w:after="120" w:line="360"/>
        <w:jc w:val="both"/>
      </w:pPr>
      <w:r>
        <w:rPr>
          <w:rFonts w:ascii="David" w:cs="David" w:eastAsia="David" w:hAnsi="David"/>
          <w:sz w:val="24"/>
          <w:szCs w:val="24"/>
          <w:rtl/>
          <w:lang w:val="en-US" w:bidi="he-I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הממצא ההולנדי שלפיו יחסי הסגל לא ניבאו רווחה כאשר האוטונומיה נכללה במודל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מחקר האורך של משוחררי כלא בבוסטון, שבו סביבה של כבוד ואמון בין אסירים לסגל הפחיתה את חוסר האושר בשנה שאחרי השחרור, ואסירים שחוו יחסים תומכים עם הסוהרים פיתחו יחסים תומכים יותר גם בחוץ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ועם ממצאיהם של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שלפיהם דלות סביבתית וחוויות שליליות הן שמכרסמות בלגיטימיות. המדרג שנמצא 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השפוטים ברמת הלגיטימיות הנמוכה לאלו ברמה הגבוהה, מקבל משמעות מעשית לאור הספים שזיהו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מלמד שמדובר במשתנה שאפשר להשפיע עליו, ולא בתכונה קבועה של האסיר.</w:t>
      </w:r>
    </w:p>
    <w:p>
      <w:pPr>
        <w:bidi/>
        <w:spacing w:after="120" w:line="360"/>
        <w:jc w:val="both"/>
      </w:pPr>
      <w:r>
        <w:rPr>
          <w:rFonts w:ascii="David" w:cs="David" w:eastAsia="David" w:hAnsi="David"/>
          <w:sz w:val="24"/>
          <w:szCs w:val="24"/>
          <w:rtl/>
          <w:lang w:val="en-US" w:bidi="he-I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אחוזים משביעות הרצון מפעילויות השיקום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אך שם המנבא המרכזי היה שביעות הרצון מתנאי המחיה, שהיא קרובה מושגית למשתנה המוסבר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בהקשר הישראלי</w:t>
      </w:r>
    </w:p>
    <w:p>
      <w:pPr>
        <w:bidi/>
        <w:spacing w:after="120" w:line="360"/>
        <w:jc w:val="both"/>
      </w:pPr>
      <w:r>
        <w:rPr>
          <w:rFonts w:ascii="David" w:cs="David" w:eastAsia="David" w:hAnsi="David"/>
          <w:sz w:val="24"/>
          <w:szCs w:val="24"/>
          <w:rtl/>
          <w:lang w:val="en-US" w:bidi="he-I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שונה מהתמונה בסלובניה, שם יותר ממחצית האסירים לא נתנו אמון בסגל </w:t>
      </w:r>
      <w:r>
        <w:rPr>
          <w:rFonts w:ascii="Times New Roman" w:cs="Times New Roman" w:eastAsia="Times New Roman" w:hAnsi="Times New Roman"/>
          <w:noProof/>
          <w:sz w:val="24"/>
          <w:szCs w:val="24"/>
          <w:lang w:val="en-US" w:bidi="he-IL"/>
        </w:rPr>
        <w:t xml:space="preserve">(Hacin &amp; Meško, 2018)</w:t>
      </w:r>
      <w:r>
        <w:rPr>
          <w:rFonts w:ascii="David" w:cs="David" w:eastAsia="David" w:hAnsi="David"/>
          <w:sz w:val="24"/>
          <w:szCs w:val="24"/>
          <w:rtl/>
          <w:lang w:val="en-US" w:bidi="he-I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אסירים משוחררים שסיימו בהצלחה פיקוח ברשות לשיקום האסיר, חלקם תיארו את הכלא עצמו כמסגרת משקמת, וההתייחסות של רובם לעתיד הייתה אופטימית (</w:t>
      </w:r>
      <w:r>
        <w:rPr>
          <w:rFonts w:ascii="David" w:cs="David" w:eastAsia="David" w:hAnsi="David"/>
          <w:noProof/>
          <w:sz w:val="24"/>
          <w:szCs w:val="24"/>
          <w:rtl/>
          <w:lang w:val="en-US" w:bidi="he-IL"/>
        </w:rPr>
        <w:t xml:space="preserve">פלד-לסקוב</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ותימור</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ההקשר המשפטי מחזק את משמעות הממצא: כשמועד השחרור נקבע למעשה לפי מקום פנוי ולא לפי גזר הדין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וכשתכליות הכליאה אינן קבועות בחקיקה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יחס הסגל באגף נותר אחד ממרכיבי ההוגנות המעטים שהאסיר חווה ישירות. הממצא שלפיו יחסי כבוד ואמון עם הסגל ממשיכים להשפיע על הרווחה גם בשנה שאחרי השחרור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 יחד עם הממצא הישראלי על תרומת התמיכה החברתית לרווחתם של אסירים משוחררים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lang w:val="en-US" w:bidi="he-IL"/>
        </w:rPr>
        <w:t xml:space="preserve">השלכות יישומיות</w:t>
      </w:r>
    </w:p>
    <w:p>
      <w:pPr>
        <w:bidi/>
        <w:spacing w:after="120" w:line="360"/>
        <w:jc w:val="both"/>
      </w:pPr>
      <w:r>
        <w:rPr>
          <w:rFonts w:ascii="David" w:cs="David" w:eastAsia="David" w:hAnsi="David"/>
          <w:sz w:val="24"/>
          <w:szCs w:val="24"/>
          <w:rtl/>
          <w:lang w:val="en-US" w:bidi="he-I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חמשת פריטי הרווחה שבשאלון הנוכחי, שמהימנותם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noProof/>
          <w:sz w:val="24"/>
          <w:szCs w:val="24"/>
          <w:lang w:val="en-US" w:bidi="he-IL"/>
        </w:rPr>
        <w:t xml:space="preserve">3.5,</w:t>
      </w:r>
      <w:r>
        <w:rPr>
          <w:rFonts w:ascii="David" w:cs="David" w:eastAsia="David" w:hAnsi="David"/>
          <w:sz w:val="24"/>
          <w:szCs w:val="24"/>
          <w:rtl/>
          <w:lang w:val="en-US" w:bidi="he-IL"/>
        </w:rPr>
        <w:t xml:space="preserve"> יזוהו ויקבלו ליווי, בדומה לסף שהציעו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החמישית, בעקבות הביקורת על הגישה הפרוצדורלית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 היא הקמת נציגות אסירים של האגף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lang w:val="en-US" w:bidi="he-IL"/>
        </w:rPr>
        <w:t xml:space="preserve">מגבלות המחקר</w:t>
      </w:r>
    </w:p>
    <w:p>
      <w:pPr>
        <w:bidi/>
        <w:spacing w:after="120" w:line="360"/>
        <w:jc w:val="both"/>
      </w:pPr>
      <w:r>
        <w:rPr>
          <w:rFonts w:ascii="David" w:cs="David" w:eastAsia="David" w:hAnsi="David"/>
          <w:sz w:val="24"/>
          <w:szCs w:val="24"/>
          <w:rtl/>
          <w:lang w:val="en-US" w:bidi="he-I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ממשיים.</w:t>
      </w:r>
    </w:p>
    <w:p>
      <w:pPr>
        <w:bidi/>
        <w:spacing w:after="120" w:line="360"/>
        <w:jc w:val="both"/>
      </w:pPr>
      <w:r>
        <w:rPr>
          <w:rFonts w:ascii="David" w:cs="David" w:eastAsia="David" w:hAnsi="David"/>
          <w:sz w:val="24"/>
          <w:szCs w:val="24"/>
          <w:rtl/>
          <w:lang w:val="en-US" w:bidi="he-I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מהמקובל, וסולם של שלושה פריטים אינו מכסה את כל מרכיבי הצדק הפרוצדורלי.</w:t>
      </w:r>
    </w:p>
    <w:p>
      <w:pPr>
        <w:bidi/>
        <w:spacing w:after="120" w:line="360"/>
        <w:jc w:val="both"/>
      </w:pPr>
      <w:r>
        <w:rPr>
          <w:rFonts w:ascii="David" w:cs="David" w:eastAsia="David" w:hAnsi="David"/>
          <w:sz w:val="24"/>
          <w:szCs w:val="24"/>
          <w:rtl/>
          <w:lang w:val="en-US" w:bidi="he-I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lang w:val="en-US" w:bidi="he-IL"/>
        </w:rPr>
        <w:t xml:space="preserve">סיכום</w:t>
      </w:r>
    </w:p>
    <w:p>
      <w:pPr>
        <w:bidi/>
        <w:spacing w:after="120" w:line="360"/>
        <w:jc w:val="both"/>
      </w:pPr>
      <w:r>
        <w:rPr>
          <w:rFonts w:ascii="David" w:cs="David" w:eastAsia="David" w:hAnsi="David"/>
          <w:sz w:val="24"/>
          <w:szCs w:val="24"/>
          <w:rtl/>
          <w:lang w:val="en-US" w:bidi="he-IL"/>
        </w:rPr>
        <w:t xml:space="preserve">העבודה בחנה את הקשר בין רווחה נפשית לבין תפיסת הלגיטימיות של סגל הכליאה בקרב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ברמה בינונית בין רווחה נפשית ללגיטימיות, בכל שלושת פריטי הסולם, ופער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ממשיים ובמערך אורך.</w:t>
      </w:r>
    </w:p>
    <w:p>
      <w:pPr>
        <w:pStyle w:val="Heading1"/>
        <w:pageBreakBefore/>
        <w:bidi/>
        <w:spacing w:after="240" w:before="0" w:line="360"/>
        <w:jc w:val="right"/>
      </w:pPr>
      <w:r>
        <w:rPr>
          <w:rFonts w:ascii="David" w:cs="David" w:eastAsia="David" w:hAnsi="David"/>
          <w:b/>
          <w:bCs/>
          <w:sz w:val="32"/>
          <w:szCs w:val="32"/>
          <w:rtl/>
          <w:lang w:val="en-US" w:bidi="he-IL"/>
        </w:rPr>
        <w:t xml:space="preserve">גילוי נאות</w:t>
      </w:r>
    </w:p>
    <w:p>
      <w:pPr>
        <w:bidi/>
        <w:spacing w:after="120" w:line="360"/>
        <w:jc w:val="both"/>
      </w:pPr>
      <w:r>
        <w:rPr>
          <w:rFonts w:ascii="David" w:cs="David" w:eastAsia="David" w:hAnsi="David"/>
          <w:sz w:val="24"/>
          <w:szCs w:val="24"/>
          <w:rtl/>
          <w:lang w:val="en-US" w:bidi="he-IL"/>
        </w:rPr>
        <w:t xml:space="preserve">בהתאם להנחיית מרצה הקורס, קובץ הנתונים הסינתטי וספר המשתנים הועלו ל-</w:t>
      </w:r>
      <w:r>
        <w:rPr>
          <w:rFonts w:ascii="Times New Roman" w:cs="Times New Roman" w:eastAsia="Times New Roman" w:hAnsi="Times New Roman"/>
          <w:noProof/>
          <w:sz w:val="24"/>
          <w:szCs w:val="24"/>
          <w:lang w:val="en-US" w:bidi="he-IL"/>
        </w:rPr>
        <w:t xml:space="preserve">ChatGPT</w:t>
      </w:r>
      <w:r>
        <w:rPr>
          <w:rFonts w:ascii="David" w:cs="David" w:eastAsia="David" w:hAnsi="David"/>
          <w:sz w:val="24"/>
          <w:szCs w:val="24"/>
          <w:rtl/>
          <w:lang w:val="en-US" w:bidi="he-IL"/>
        </w:rPr>
        <w:t xml:space="preserve">, והוזנה בו הפקודה שנמסרה בקורס: כתיבת </w:t>
      </w:r>
      <w:r>
        <w:rPr>
          <w:rFonts w:ascii="David" w:cs="David" w:eastAsia="David" w:hAnsi="David"/>
          <w:noProof/>
          <w:sz w:val="24"/>
          <w:szCs w:val="24"/>
          <w:rtl/>
          <w:lang w:val="en-US" w:bidi="he-IL"/>
        </w:rPr>
        <w:t xml:space="preserve">סינטקס</w:t>
      </w:r>
      <w:r>
        <w:rPr>
          <w:rFonts w:ascii="David" w:cs="David" w:eastAsia="David" w:hAnsi="David"/>
          <w:sz w:val="24"/>
          <w:szCs w:val="24"/>
          <w:rtl/>
          <w:lang w:val="en-US" w:bidi="he-IL"/>
        </w:rPr>
        <w:t xml:space="preserve"> פשוט ל-</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לספירמן</w:t>
      </w:r>
      <w:r>
        <w:rPr>
          <w:rFonts w:ascii="David" w:cs="David" w:eastAsia="David" w:hAnsi="David"/>
          <w:sz w:val="24"/>
          <w:szCs w:val="24"/>
          <w:rtl/>
          <w:lang w:val="en-US" w:bidi="he-IL"/>
        </w:rPr>
        <w:t xml:space="preserve"> לפי סוג המשתנים, ובלי מבחנים מיותרים ובלי פקודות טעינה או שמירה של קבצים. </w:t>
      </w:r>
      <w:r>
        <w:rPr>
          <w:rFonts w:ascii="David" w:cs="David" w:eastAsia="David" w:hAnsi="David"/>
          <w:noProof/>
          <w:sz w:val="24"/>
          <w:szCs w:val="24"/>
          <w:rtl/>
          <w:lang w:val="en-US" w:bidi="he-IL"/>
        </w:rPr>
        <w:t xml:space="preserve">הסינטקס</w:t>
      </w:r>
      <w:r>
        <w:rPr>
          <w:rFonts w:ascii="David" w:cs="David" w:eastAsia="David" w:hAnsi="David"/>
          <w:sz w:val="24"/>
          <w:szCs w:val="24"/>
          <w:rtl/>
          <w:lang w:val="en-US" w:bidi="he-IL"/>
        </w:rPr>
        <w:t xml:space="preserve"> שהתקבל הורץ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על ידי הכותבות, והפלטים שבנספח א' הם תוצריו.</w:t>
      </w:r>
    </w:p>
    <w:p>
      <w:pPr>
        <w:bidi/>
        <w:spacing w:after="120" w:line="360"/>
        <w:jc w:val="both"/>
      </w:pPr>
      <w:r>
        <w:rPr>
          <w:rFonts w:ascii="David" w:cs="David" w:eastAsia="David" w:hAnsi="David"/>
          <w:sz w:val="24"/>
          <w:szCs w:val="24"/>
          <w:rtl/>
          <w:lang w:val="en-US" w:bidi="he-I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jc w:val="both"/>
      </w:pPr>
      <w:r>
        <w:rPr>
          <w:rFonts w:ascii="David" w:cs="David" w:eastAsia="David" w:hAnsi="David"/>
          <w:sz w:val="24"/>
          <w:szCs w:val="24"/>
          <w:rtl/>
          <w:lang w:val="en-US" w:bidi="he-IL"/>
        </w:rPr>
        <w:t xml:space="preserve">חלוקת העבודה: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המבוא ואת סקירת הספרות;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פרק השיטה ואת פרק הממצאים והריצה את הניתוחים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הדיון, המגבלות והסיכום נכתבו במשותף. </w:t>
      </w:r>
      <w:r>
        <w:rPr>
          <w:rFonts w:ascii="David" w:cs="David" w:eastAsia="David" w:hAnsi="David"/>
          <w:sz w:val="24"/>
          <w:szCs w:val="24"/>
          <w:highlight w:val="yellow"/>
          <w:rtl/>
          <w:lang w:val="en-US" w:bidi="he-IL"/>
        </w:rPr>
        <w:t xml:space="preserve">להתאים לחלוקה בפועל.</w:t>
      </w:r>
    </w:p>
    <w:p>
      <w:pPr>
        <w:pStyle w:val="Heading1"/>
        <w:pageBreakBefore/>
        <w:bidi/>
        <w:spacing w:after="240" w:before="0" w:line="360"/>
        <w:jc w:val="right"/>
      </w:pPr>
      <w:r>
        <w:rPr>
          <w:rFonts w:ascii="David" w:cs="David" w:eastAsia="David" w:hAnsi="David"/>
          <w:b/>
          <w:bCs/>
          <w:noProof/>
          <w:sz w:val="32"/>
          <w:szCs w:val="32"/>
          <w:rtl/>
          <w:lang w:val="en-US" w:bidi="he-IL"/>
        </w:rPr>
        <w:t xml:space="preserve">ביבליוגרפיה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גזל-אייל</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ומרזוק-מקלדה</w:t>
      </w:r>
      <w:r>
        <w:rPr>
          <w:rFonts w:ascii="David" w:cs="David" w:eastAsia="David" w:hAnsi="David"/>
          <w:b w:val="false"/>
          <w:bCs w:val="false"/>
          <w:noProof/>
          <w:sz w:val="24"/>
          <w:szCs w:val="24"/>
          <w:rtl/>
          <w:lang w:val="en-US" w:bidi="he-IL"/>
        </w:rPr>
        <w:t xml:space="preserve">, פ' (</w:t>
      </w:r>
      <w:r>
        <w:rPr>
          <w:rFonts w:ascii="Times New Roman" w:cs="Times New Roman" w:eastAsia="Times New Roman" w:hAnsi="Times New Roman"/>
          <w:b w:val="false"/>
          <w:bCs w:val="false"/>
          <w:noProof/>
          <w:sz w:val="24"/>
          <w:szCs w:val="24"/>
          <w:lang w:val="en-US" w:bidi="he-IL"/>
        </w:rPr>
        <w:t xml:space="preserve">2023</w:t>
      </w:r>
      <w:r>
        <w:rPr>
          <w:rFonts w:ascii="David" w:cs="David" w:eastAsia="David" w:hAnsi="David"/>
          <w:b w:val="false"/>
          <w:bCs w:val="false"/>
          <w:noProof/>
          <w:sz w:val="24"/>
          <w:szCs w:val="24"/>
          <w:rtl/>
          <w:lang w:val="en-US" w:bidi="he-IL"/>
        </w:rPr>
        <w:t xml:space="preserve">). מהפכת השחרור המנהלי: ממדיניות כליאה מבוססת ביקוש למדיניות מבוססת היצע. </w:t>
      </w:r>
      <w:r>
        <w:rPr>
          <w:rFonts w:ascii="David" w:cs="David" w:eastAsia="David" w:hAnsi="David"/>
          <w:b/>
          <w:bCs/>
          <w:noProof/>
          <w:sz w:val="24"/>
          <w:szCs w:val="24"/>
          <w:rtl/>
          <w:lang w:val="en-US" w:bidi="he-IL"/>
        </w:rPr>
        <w:t xml:space="preserve">עיוני משפט, מז</w:t>
      </w:r>
      <w:r>
        <w:rPr>
          <w:rFonts w:ascii="Times New Roman" w:cs="Times New Roman" w:eastAsia="Times New Roman" w:hAnsi="Times New Roman"/>
          <w:b w:val="false"/>
          <w:bCs w:val="false"/>
          <w:noProof/>
          <w:sz w:val="24"/>
          <w:szCs w:val="24"/>
          <w:lang w:val="en-US" w:bidi="he-IL"/>
        </w:rPr>
        <w:t xml:space="preserve">, 57-123. https://www.taulawreview.sites.tau.ac.il/mz1/gazalayal_makalda</w:t>
      </w:r>
    </w:p>
    <w:p>
      <w:pPr>
        <w:bidi/>
        <w:spacing w:after="120" w:line="360"/>
        <w:ind w:start="709" w:hanging="709"/>
        <w:jc w:val="right"/>
      </w:pPr>
      <w:r>
        <w:rPr>
          <w:rFonts w:ascii="David" w:cs="David" w:eastAsia="David" w:hAnsi="David"/>
          <w:b w:val="false"/>
          <w:bCs w:val="false"/>
          <w:noProof/>
          <w:sz w:val="24"/>
          <w:szCs w:val="24"/>
          <w:rtl/>
          <w:lang w:val="en-US" w:bidi="he-IL"/>
        </w:rPr>
        <w:t xml:space="preserve">דגן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2021</w:t>
      </w:r>
      <w:r>
        <w:rPr>
          <w:rFonts w:ascii="David" w:cs="David" w:eastAsia="David" w:hAnsi="David"/>
          <w:b w:val="false"/>
          <w:bCs w:val="false"/>
          <w:noProof/>
          <w:sz w:val="24"/>
          <w:szCs w:val="24"/>
          <w:rtl/>
          <w:lang w:val="en-US" w:bidi="he-IL"/>
        </w:rPr>
        <w:t xml:space="preserve">). שני מושגים של שלילת חירות: היחס בין שיקולי הענישה לתכליות הכליאה והשפעתו על זכויות האסיר. </w:t>
      </w:r>
      <w:r>
        <w:rPr>
          <w:rFonts w:ascii="David" w:cs="David" w:eastAsia="David" w:hAnsi="David"/>
          <w:b/>
          <w:bCs/>
          <w:noProof/>
          <w:sz w:val="24"/>
          <w:szCs w:val="24"/>
          <w:rtl/>
          <w:lang w:val="en-US" w:bidi="he-IL"/>
        </w:rPr>
        <w:t xml:space="preserve">חוקים, טו</w:t>
      </w:r>
      <w:r>
        <w:rPr>
          <w:rFonts w:ascii="Times New Roman" w:cs="Times New Roman" w:eastAsia="Times New Roman" w:hAnsi="Times New Roman"/>
          <w:b w:val="false"/>
          <w:bCs w:val="false"/>
          <w:noProof/>
          <w:sz w:val="24"/>
          <w:szCs w:val="24"/>
          <w:lang w:val="en-US" w:bidi="he-IL"/>
        </w:rPr>
        <w:t xml:space="preserve">, 9-48. https://law.huji.ac.il/sites/default/files/law/files/shny_mvshgym_shl_shlylt_khyrvt.pdf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דוידסקו</w:t>
      </w:r>
      <w:r>
        <w:rPr>
          <w:rFonts w:ascii="David" w:cs="David" w:eastAsia="David" w:hAnsi="David"/>
          <w:b w:val="false"/>
          <w:bCs w:val="false"/>
          <w:noProof/>
          <w:sz w:val="24"/>
          <w:szCs w:val="24"/>
          <w:rtl/>
          <w:lang w:val="en-US" w:bidi="he-IL"/>
        </w:rPr>
        <w:t xml:space="preserve">, ע' </w:t>
      </w:r>
      <w:r>
        <w:rPr>
          <w:rFonts w:ascii="David" w:cs="David" w:eastAsia="David" w:hAnsi="David"/>
          <w:b w:val="false"/>
          <w:bCs w:val="false"/>
          <w:noProof/>
          <w:sz w:val="24"/>
          <w:szCs w:val="24"/>
          <w:rtl/>
          <w:lang w:val="en-US" w:bidi="he-IL"/>
        </w:rPr>
        <w:t xml:space="preserve">וולק</w:t>
      </w:r>
      <w:r>
        <w:rPr>
          <w:rFonts w:ascii="David" w:cs="David" w:eastAsia="David" w:hAnsi="David"/>
          <w:b w:val="false"/>
          <w:bCs w:val="false"/>
          <w:noProof/>
          <w:sz w:val="24"/>
          <w:szCs w:val="24"/>
          <w:rtl/>
          <w:lang w:val="en-US" w:bidi="he-IL"/>
        </w:rPr>
        <w:t xml:space="preserve">, ד' (</w:t>
      </w:r>
      <w:r>
        <w:rPr>
          <w:rFonts w:ascii="Times New Roman" w:cs="Times New Roman" w:eastAsia="Times New Roman" w:hAnsi="Times New Roman"/>
          <w:b w:val="false"/>
          <w:bCs w:val="false"/>
          <w:noProof/>
          <w:sz w:val="24"/>
          <w:szCs w:val="24"/>
          <w:lang w:val="en-US" w:bidi="he-IL"/>
        </w:rPr>
        <w:t xml:space="preserve">2015</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תנאי כליאה של אסירים: בין רווחה לנוקשות</w:t>
      </w:r>
      <w:r>
        <w:rPr>
          <w:rFonts w:ascii="David" w:cs="David" w:eastAsia="David" w:hAnsi="David"/>
          <w:b w:val="false"/>
          <w:bCs w:val="false"/>
          <w:noProof/>
          <w:sz w:val="24"/>
          <w:szCs w:val="24"/>
          <w:rtl/>
          <w:lang w:val="en-US" w:bidi="he-IL"/>
        </w:rPr>
        <w:t xml:space="preserve"> (סקירת ספרות, פרסום מס' </w:t>
      </w:r>
      <w:r>
        <w:rPr>
          <w:rFonts w:ascii="Times New Roman" w:cs="Times New Roman" w:eastAsia="Times New Roman" w:hAnsi="Times New Roman"/>
          <w:b w:val="false"/>
          <w:bCs w:val="false"/>
          <w:noProof/>
          <w:sz w:val="24"/>
          <w:szCs w:val="24"/>
          <w:lang w:val="en-US" w:bidi="he-IL"/>
        </w:rPr>
        <w:t xml:space="preserve">LR-02-2015</w:t>
      </w:r>
      <w:r>
        <w:rPr>
          <w:rFonts w:ascii="David" w:cs="David" w:eastAsia="David" w:hAnsi="David"/>
          <w:b w:val="false"/>
          <w:bCs w:val="false"/>
          <w:noProof/>
          <w:sz w:val="24"/>
          <w:szCs w:val="24"/>
          <w:rtl/>
          <w:lang w:val="en-US" w:bidi="he-IL"/>
        </w:rPr>
        <w:t xml:space="preserve">). שירות בתי הסוהר, מחלקת מחקר ואסטרטגיה.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בין שיקום ללגיטימיות: התפקיד של לגיטימיות בקשר שבין שביעות רצון מתנאי המחיה לשביעות רצון מפעילות חטו"ש בקרב כלואים פליליים בישראל.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62-77.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2025,</w:t>
      </w:r>
      <w:r>
        <w:rPr>
          <w:rFonts w:ascii="Times New Roman" w:cs="Times New Roman" w:eastAsia="Times New Roman" w:hAnsi="Times New Roman"/>
          <w:b w:val="false"/>
          <w:bCs w:val="false"/>
          <w:noProof/>
          <w:sz w:val="24"/>
          <w:szCs w:val="24"/>
          <w:lang w:val="en-US" w:bidi="he-IL"/>
        </w:rPr>
        <w:t xml:space="preserve"> </w:t>
      </w:r>
      <w:r>
        <w:rPr>
          <w:rFonts w:ascii="Times New Roman" w:cs="Times New Roman" w:eastAsia="Times New Roman" w:hAnsi="Times New Roman"/>
          <w:b w:val="false"/>
          <w:bCs w:val="false"/>
          <w:noProof/>
          <w:sz w:val="24"/>
          <w:szCs w:val="24"/>
          <w:lang w:val="en-US" w:bidi="he-IL"/>
        </w:rPr>
        <w:t xml:space="preserve">8</w:t>
      </w:r>
      <w:r>
        <w:rPr>
          <w:rFonts w:ascii="David" w:cs="David" w:eastAsia="David" w:hAnsi="David"/>
          <w:b w:val="false"/>
          <w:bCs w:val="false"/>
          <w:noProof/>
          <w:sz w:val="24"/>
          <w:szCs w:val="24"/>
          <w:rtl/>
          <w:lang w:val="en-US" w:bidi="he-IL"/>
        </w:rPr>
        <w:t xml:space="preserve"> בינואר). </w:t>
      </w:r>
      <w:r>
        <w:rPr>
          <w:rFonts w:ascii="David" w:cs="David" w:eastAsia="David" w:hAnsi="David"/>
          <w:b/>
          <w:bCs/>
          <w:noProof/>
          <w:sz w:val="24"/>
          <w:szCs w:val="24"/>
          <w:rtl/>
          <w:lang w:val="en-US" w:bidi="he-IL"/>
        </w:rPr>
        <w:t xml:space="preserve">אפקטיביות תוכניות </w:t>
      </w:r>
      <w:r>
        <w:rPr>
          <w:rFonts w:ascii="David" w:cs="David" w:eastAsia="David" w:hAnsi="David"/>
          <w:b/>
          <w:bCs/>
          <w:noProof/>
          <w:sz w:val="24"/>
          <w:szCs w:val="24"/>
          <w:rtl/>
          <w:lang w:val="en-US" w:bidi="he-IL"/>
        </w:rPr>
        <w:t xml:space="preserve">התקון</w:t>
      </w:r>
      <w:r>
        <w:rPr>
          <w:rFonts w:ascii="David" w:cs="David" w:eastAsia="David" w:hAnsi="David"/>
          <w:b/>
          <w:bCs/>
          <w:noProof/>
          <w:sz w:val="24"/>
          <w:szCs w:val="24"/>
          <w:rtl/>
          <w:lang w:val="en-US" w:bidi="he-IL"/>
        </w:rPr>
        <w:t xml:space="preserve"> בשב"ס</w:t>
      </w:r>
      <w:r>
        <w:rPr>
          <w:rFonts w:ascii="David" w:cs="David" w:eastAsia="David" w:hAnsi="David"/>
          <w:b w:val="false"/>
          <w:bCs w:val="false"/>
          <w:noProof/>
          <w:sz w:val="24"/>
          <w:szCs w:val="24"/>
          <w:rtl/>
          <w:lang w:val="en-US" w:bidi="he-IL"/>
        </w:rPr>
        <w:t xml:space="preserve"> [מצגת בכנס]. כנס מחקר שב"ס, שירות בתי הסוהר.</w:t>
      </w:r>
    </w:p>
    <w:p>
      <w:pPr>
        <w:bidi/>
        <w:spacing w:after="120" w:line="360"/>
        <w:ind w:start="709" w:hanging="709"/>
        <w:jc w:val="right"/>
      </w:pPr>
      <w:r>
        <w:rPr>
          <w:rFonts w:ascii="David" w:cs="David" w:eastAsia="David" w:hAnsi="David"/>
          <w:b w:val="false"/>
          <w:bCs w:val="false"/>
          <w:noProof/>
          <w:sz w:val="24"/>
          <w:szCs w:val="24"/>
          <w:rtl/>
          <w:lang w:val="en-US" w:bidi="he-IL"/>
        </w:rPr>
        <w:t xml:space="preserve">יכימוביץ-כהן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2020</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סוגיות בכליאה בישראל</w:t>
      </w:r>
      <w:r>
        <w:rPr>
          <w:rFonts w:ascii="David" w:cs="David" w:eastAsia="David" w:hAnsi="David"/>
          <w:b w:val="false"/>
          <w:bCs w:val="false"/>
          <w:noProof/>
          <w:sz w:val="24"/>
          <w:szCs w:val="24"/>
          <w:rtl/>
          <w:lang w:val="en-US" w:bidi="he-IL"/>
        </w:rPr>
        <w:t xml:space="preserve">. הכנסת, מרכז המחקר והמידע. </w:t>
      </w:r>
      <w:r>
        <w:rPr>
          <w:rFonts w:ascii="Times New Roman" w:cs="Times New Roman" w:eastAsia="Times New Roman" w:hAnsi="Times New Roman"/>
          <w:b w:val="false"/>
          <w:bCs w:val="false"/>
          <w:noProof/>
          <w:sz w:val="24"/>
          <w:szCs w:val="24"/>
          <w:lang w:val="en-US" w:bidi="he-IL"/>
        </w:rPr>
        <w:t xml:space="preserve">https://fs.knesset.gov.il/globaldocs/MMM/78db42ca-8119-e911-80e1-00155d0a98a9/2_78db42ca-8119-e911-80e1-00155d0a98a9_11_15096.pdf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יפתח-שרצקי</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והראל</w:t>
      </w:r>
      <w:r>
        <w:rPr>
          <w:rFonts w:ascii="David" w:cs="David" w:eastAsia="David" w:hAnsi="David"/>
          <w:b w:val="false"/>
          <w:bCs w:val="false"/>
          <w:noProof/>
          <w:sz w:val="24"/>
          <w:szCs w:val="24"/>
          <w:rtl/>
          <w:lang w:val="en-US" w:bidi="he-IL"/>
        </w:rPr>
        <w:t xml:space="preserve">, ש'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צללים מאחורי הסורגים: תסמינים פוסט טראומטיים, ויסות רגשי שלילי והשלכתם על תפקודם של אסירים בכלא.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130-157.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מורלי</w:t>
      </w:r>
      <w:r>
        <w:rPr>
          <w:rFonts w:ascii="David" w:cs="David" w:eastAsia="David" w:hAnsi="David"/>
          <w:b w:val="false"/>
          <w:bCs w:val="false"/>
          <w:noProof/>
          <w:sz w:val="24"/>
          <w:szCs w:val="24"/>
          <w:rtl/>
          <w:lang w:val="en-US" w:bidi="he-IL"/>
        </w:rPr>
        <w:t xml:space="preserve">, י', </w:t>
      </w:r>
      <w:r>
        <w:rPr>
          <w:rFonts w:ascii="David" w:cs="David" w:eastAsia="David" w:hAnsi="David"/>
          <w:b w:val="false"/>
          <w:bCs w:val="false"/>
          <w:noProof/>
          <w:sz w:val="24"/>
          <w:szCs w:val="24"/>
          <w:rtl/>
          <w:lang w:val="en-US" w:bidi="he-IL"/>
        </w:rPr>
        <w:t xml:space="preserve">שער-אפודי</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ואבו-ריא</w:t>
      </w:r>
      <w:r>
        <w:rPr>
          <w:rFonts w:ascii="David" w:cs="David" w:eastAsia="David" w:hAnsi="David"/>
          <w:b w:val="false"/>
          <w:bCs w:val="false"/>
          <w:noProof/>
          <w:sz w:val="24"/>
          <w:szCs w:val="24"/>
          <w:rtl/>
          <w:lang w:val="en-US" w:bidi="he-IL"/>
        </w:rPr>
        <w:t xml:space="preserve">, ה' (</w:t>
      </w:r>
      <w:r>
        <w:rPr>
          <w:rFonts w:ascii="Times New Roman" w:cs="Times New Roman" w:eastAsia="Times New Roman" w:hAnsi="Times New Roman"/>
          <w:b w:val="false"/>
          <w:bCs w:val="false"/>
          <w:noProof/>
          <w:sz w:val="24"/>
          <w:szCs w:val="24"/>
          <w:lang w:val="en-US" w:bidi="he-IL"/>
        </w:rPr>
        <w:t xml:space="preserve">2019</w:t>
      </w:r>
      <w:r>
        <w:rPr>
          <w:rFonts w:ascii="David" w:cs="David" w:eastAsia="David" w:hAnsi="David"/>
          <w:b w:val="false"/>
          <w:bCs w:val="false"/>
          <w:noProof/>
          <w:sz w:val="24"/>
          <w:szCs w:val="24"/>
          <w:rtl/>
          <w:lang w:val="en-US" w:bidi="he-IL"/>
        </w:rPr>
        <w:t xml:space="preserve">). ניצחון הרוח: התמודדות דתית ותמיכה חברתית כמנבאים רווחה נפשית בקרב אסירים משוחררים. </w:t>
      </w:r>
      <w:r>
        <w:rPr>
          <w:rFonts w:ascii="David" w:cs="David" w:eastAsia="David" w:hAnsi="David"/>
          <w:b/>
          <w:bCs/>
          <w:noProof/>
          <w:sz w:val="24"/>
          <w:szCs w:val="24"/>
          <w:rtl/>
          <w:lang w:val="en-US" w:bidi="he-IL"/>
        </w:rPr>
        <w:t xml:space="preserve">צוהר לבית הסוהר, </w:t>
      </w:r>
      <w:r>
        <w:rPr>
          <w:rFonts w:ascii="Times New Roman" w:cs="Times New Roman" w:eastAsia="Times New Roman" w:hAnsi="Times New Roman"/>
          <w:b/>
          <w:bCs/>
          <w:noProof/>
          <w:sz w:val="24"/>
          <w:szCs w:val="24"/>
          <w:lang w:val="en-US" w:bidi="he-IL"/>
        </w:rPr>
        <w:t xml:space="preserve">20</w:t>
      </w:r>
      <w:r>
        <w:rPr>
          <w:rFonts w:ascii="Times New Roman" w:cs="Times New Roman" w:eastAsia="Times New Roman" w:hAnsi="Times New Roman"/>
          <w:b w:val="false"/>
          <w:bCs w:val="false"/>
          <w:noProof/>
          <w:sz w:val="24"/>
          <w:szCs w:val="24"/>
          <w:lang w:val="en-US" w:bidi="he-IL"/>
        </w:rPr>
        <w:t xml:space="preserve">, 71-89. https://www.gov.il/BlobFolder/guide/zohar/he/%D7%A6%D7%95%D7%94%D7%A8%20%D7%9C%D7%91%D7%99%D7%AA%20%D7%94%D7%A1%D7%95%D7%94%D7%A8%20%D7%92%D7%9C%D7%99%D7%95%D7%9F%2020.pdf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נחשון דהן</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וכץ</w:t>
      </w:r>
      <w:r>
        <w:rPr>
          <w:rFonts w:ascii="David" w:cs="David" w:eastAsia="David" w:hAnsi="David"/>
          <w:b w:val="false"/>
          <w:bCs w:val="false"/>
          <w:noProof/>
          <w:sz w:val="24"/>
          <w:szCs w:val="24"/>
          <w:rtl/>
          <w:lang w:val="en-US" w:bidi="he-IL"/>
        </w:rPr>
        <w:t xml:space="preserve">, ע'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מוטיבציה ללמידה בקרב אסירים: האם תמיכה בצרכים פסיכולוגיים של אסירים במרכז החינוך מביאה למוטיבציה אוטונומית ללמידה ולהתמדה בה?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106-129.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פלד-לסקוב</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ותימור</w:t>
      </w:r>
      <w:r>
        <w:rPr>
          <w:rFonts w:ascii="David" w:cs="David" w:eastAsia="David" w:hAnsi="David"/>
          <w:b w:val="false"/>
          <w:bCs w:val="false"/>
          <w:noProof/>
          <w:sz w:val="24"/>
          <w:szCs w:val="24"/>
          <w:rtl/>
          <w:lang w:val="en-US" w:bidi="he-IL"/>
        </w:rPr>
        <w:t xml:space="preserve">, א'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אל החיים "מאחורי הסורגים": תהליכי שיקום בעיני אסירים משוחררים.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43-61.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שני, נ', </w:t>
      </w:r>
      <w:r>
        <w:rPr>
          <w:rFonts w:ascii="David" w:cs="David" w:eastAsia="David" w:hAnsi="David"/>
          <w:b w:val="false"/>
          <w:bCs w:val="false"/>
          <w:noProof/>
          <w:sz w:val="24"/>
          <w:szCs w:val="24"/>
          <w:rtl/>
          <w:lang w:val="en-US" w:bidi="he-IL"/>
        </w:rPr>
        <w:t xml:space="preserve">חמלניצקי</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תימור</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ואידיסיס</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איזה מין טיפול: התרומה של השתתפות בקבוצה </w:t>
      </w:r>
      <w:r>
        <w:rPr>
          <w:rFonts w:ascii="David" w:cs="David" w:eastAsia="David" w:hAnsi="David"/>
          <w:b w:val="false"/>
          <w:bCs w:val="false"/>
          <w:noProof/>
          <w:sz w:val="24"/>
          <w:szCs w:val="24"/>
          <w:rtl/>
          <w:lang w:val="en-US" w:bidi="he-IL"/>
        </w:rPr>
        <w:t xml:space="preserve">פסיכו-חינוכית</w:t>
      </w:r>
      <w:r>
        <w:rPr>
          <w:rFonts w:ascii="David" w:cs="David" w:eastAsia="David" w:hAnsi="David"/>
          <w:b w:val="false"/>
          <w:bCs w:val="false"/>
          <w:noProof/>
          <w:sz w:val="24"/>
          <w:szCs w:val="24"/>
          <w:rtl/>
          <w:lang w:val="en-US" w:bidi="he-IL"/>
        </w:rPr>
        <w:t xml:space="preserve"> מורחבת מכינה לטיפול ייעודי בפוגעים מינית להפחתה של מתח נפשי, להעלאת רווחה נפשית סובייקטיבית ולהגברה של מיקוד שליטה פנימי.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158-171. https://www.gov.il/BlobFolder/guide/zohar/he/%D7%A6%D7%95%D7%94%D7%A8%2022.pdf</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Auty, K. M., &amp; Liebling, A. (2024). What is a 'good enough' prison? An empirical analysis of key thresholds using prison moral quality data. </w:t>
      </w:r>
      <w:r>
        <w:rPr>
          <w:rFonts w:ascii="Times New Roman" w:cs="Times New Roman" w:eastAsia="Times New Roman" w:hAnsi="Times New Roman"/>
          <w:i/>
          <w:iCs/>
          <w:noProof/>
          <w:sz w:val="24"/>
          <w:szCs w:val="24"/>
          <w:lang w:val="en-US" w:bidi="he-IL"/>
        </w:rPr>
        <w:t xml:space="preserve">European Journal of Criminology, 21</w:t>
      </w:r>
      <w:r>
        <w:rPr>
          <w:rFonts w:ascii="Times New Roman" w:cs="Times New Roman" w:eastAsia="Times New Roman" w:hAnsi="Times New Roman"/>
          <w:i w:val="false"/>
          <w:iCs w:val="false"/>
          <w:noProof/>
          <w:sz w:val="24"/>
          <w:szCs w:val="24"/>
          <w:lang w:val="en-US" w:bidi="he-IL"/>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noProof/>
          <w:sz w:val="24"/>
          <w:szCs w:val="24"/>
          <w:lang w:val="en-US" w:bidi="he-IL"/>
        </w:rPr>
        <w:t xml:space="preserve">International Journal of Offender Therapy and Comparative Criminology, 59</w:t>
      </w:r>
      <w:r>
        <w:rPr>
          <w:rFonts w:ascii="Times New Roman" w:cs="Times New Roman" w:eastAsia="Times New Roman" w:hAnsi="Times New Roman"/>
          <w:i w:val="false"/>
          <w:iCs w:val="false"/>
          <w:noProof/>
          <w:sz w:val="24"/>
          <w:szCs w:val="24"/>
          <w:lang w:val="en-US" w:bidi="he-IL"/>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noProof/>
          <w:sz w:val="24"/>
          <w:szCs w:val="24"/>
          <w:lang w:val="en-US" w:bidi="he-IL"/>
        </w:rPr>
        <w:t xml:space="preserve">Justice Quarterly, 33</w:t>
      </w:r>
      <w:r>
        <w:rPr>
          <w:rFonts w:ascii="Times New Roman" w:cs="Times New Roman" w:eastAsia="Times New Roman" w:hAnsi="Times New Roman"/>
          <w:i w:val="false"/>
          <w:iCs w:val="false"/>
          <w:noProof/>
          <w:sz w:val="24"/>
          <w:szCs w:val="24"/>
          <w:lang w:val="en-US" w:bidi="he-IL"/>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Deambrogio, C. (2025). Procedural justice and prison legitimacy: Towards a democratic model of inmate participation. </w:t>
      </w:r>
      <w:r>
        <w:rPr>
          <w:rFonts w:ascii="Times New Roman" w:cs="Times New Roman" w:eastAsia="Times New Roman" w:hAnsi="Times New Roman"/>
          <w:i/>
          <w:iCs/>
          <w:noProof/>
          <w:sz w:val="24"/>
          <w:szCs w:val="24"/>
          <w:lang w:val="en-US" w:bidi="he-IL"/>
        </w:rPr>
        <w:t xml:space="preserve">Oxford Journal of Legal Studies, 45</w:t>
      </w:r>
      <w:r>
        <w:rPr>
          <w:rFonts w:ascii="Times New Roman" w:cs="Times New Roman" w:eastAsia="Times New Roman" w:hAnsi="Times New Roman"/>
          <w:i w:val="false"/>
          <w:iCs w:val="false"/>
          <w:noProof/>
          <w:sz w:val="24"/>
          <w:szCs w:val="24"/>
          <w:lang w:val="en-US" w:bidi="he-IL"/>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Franke, D., Bierie, D., &amp; MacKenzie, D. L. (2010). Legitimacy in corrections: A randomized experiment comparing a boot camp with a prison. </w:t>
      </w:r>
      <w:r>
        <w:rPr>
          <w:rFonts w:ascii="Times New Roman" w:cs="Times New Roman" w:eastAsia="Times New Roman" w:hAnsi="Times New Roman"/>
          <w:i/>
          <w:iCs/>
          <w:noProof/>
          <w:sz w:val="24"/>
          <w:szCs w:val="24"/>
          <w:lang w:val="en-US" w:bidi="he-IL"/>
        </w:rPr>
        <w:t xml:space="preserve">Criminology &amp; Public Policy, 9</w:t>
      </w:r>
      <w:r>
        <w:rPr>
          <w:rFonts w:ascii="Times New Roman" w:cs="Times New Roman" w:eastAsia="Times New Roman" w:hAnsi="Times New Roman"/>
          <w:i w:val="false"/>
          <w:iCs w:val="false"/>
          <w:noProof/>
          <w:sz w:val="24"/>
          <w:szCs w:val="24"/>
          <w:lang w:val="en-US" w:bidi="he-IL"/>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Hacin, R., &amp; Meško, G. (2018). Prisoners' perception of legitimacy of the prison staff: A qualitative study in Slovene prisons. </w:t>
      </w:r>
      <w:r>
        <w:rPr>
          <w:rFonts w:ascii="Times New Roman" w:cs="Times New Roman" w:eastAsia="Times New Roman" w:hAnsi="Times New Roman"/>
          <w:i/>
          <w:iCs/>
          <w:noProof/>
          <w:sz w:val="24"/>
          <w:szCs w:val="24"/>
          <w:lang w:val="en-US" w:bidi="he-IL"/>
        </w:rPr>
        <w:t xml:space="preserve">International Journal of Offender Therapy and Comparative Criminology, 62</w:t>
      </w:r>
      <w:r>
        <w:rPr>
          <w:rFonts w:ascii="Times New Roman" w:cs="Times New Roman" w:eastAsia="Times New Roman" w:hAnsi="Times New Roman"/>
          <w:i w:val="false"/>
          <w:iCs w:val="false"/>
          <w:noProof/>
          <w:sz w:val="24"/>
          <w:szCs w:val="24"/>
          <w:lang w:val="en-US" w:bidi="he-IL"/>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Ryan, C., &amp; Bergin, M. (2022). Procedural justice and legitimacy in prisons: A review of extant empirical literature. </w:t>
      </w:r>
      <w:r>
        <w:rPr>
          <w:rFonts w:ascii="Times New Roman" w:cs="Times New Roman" w:eastAsia="Times New Roman" w:hAnsi="Times New Roman"/>
          <w:i/>
          <w:iCs/>
          <w:noProof/>
          <w:sz w:val="24"/>
          <w:szCs w:val="24"/>
          <w:lang w:val="en-US" w:bidi="he-IL"/>
        </w:rPr>
        <w:t xml:space="preserve">Criminal Justice and Behavior, 49</w:t>
      </w:r>
      <w:r>
        <w:rPr>
          <w:rFonts w:ascii="Times New Roman" w:cs="Times New Roman" w:eastAsia="Times New Roman" w:hAnsi="Times New Roman"/>
          <w:i w:val="false"/>
          <w:iCs w:val="false"/>
          <w:noProof/>
          <w:sz w:val="24"/>
          <w:szCs w:val="24"/>
          <w:lang w:val="en-US" w:bidi="he-IL"/>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noProof/>
          <w:sz w:val="24"/>
          <w:szCs w:val="24"/>
          <w:lang w:val="en-US" w:bidi="he-IL"/>
        </w:rPr>
        <w:t xml:space="preserve">Criminal Justice and Behavior, 53</w:t>
      </w:r>
      <w:r>
        <w:rPr>
          <w:rFonts w:ascii="Times New Roman" w:cs="Times New Roman" w:eastAsia="Times New Roman" w:hAnsi="Times New Roman"/>
          <w:i w:val="false"/>
          <w:iCs w:val="false"/>
          <w:noProof/>
          <w:sz w:val="24"/>
          <w:szCs w:val="24"/>
          <w:lang w:val="en-US" w:bidi="he-IL"/>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Schnittker, J. (2025). Trusting relationships in prison and well-being after release. </w:t>
      </w:r>
      <w:r>
        <w:rPr>
          <w:rFonts w:ascii="Times New Roman" w:cs="Times New Roman" w:eastAsia="Times New Roman" w:hAnsi="Times New Roman"/>
          <w:i/>
          <w:iCs/>
          <w:noProof/>
          <w:sz w:val="24"/>
          <w:szCs w:val="24"/>
          <w:lang w:val="en-US" w:bidi="he-IL"/>
        </w:rPr>
        <w:t xml:space="preserve">SSM - Mental Health, 8</w:t>
      </w:r>
      <w:r>
        <w:rPr>
          <w:rFonts w:ascii="Times New Roman" w:cs="Times New Roman" w:eastAsia="Times New Roman" w:hAnsi="Times New Roman"/>
          <w:i w:val="false"/>
          <w:iCs w:val="false"/>
          <w:noProof/>
          <w:sz w:val="24"/>
          <w:szCs w:val="24"/>
          <w:lang w:val="en-US" w:bidi="he-IL"/>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Sparks, J. R., &amp; Bottoms, A. E. (1995). Legitimacy and order in prisons. </w:t>
      </w:r>
      <w:r>
        <w:rPr>
          <w:rFonts w:ascii="Times New Roman" w:cs="Times New Roman" w:eastAsia="Times New Roman" w:hAnsi="Times New Roman"/>
          <w:i/>
          <w:iCs/>
          <w:noProof/>
          <w:sz w:val="24"/>
          <w:szCs w:val="24"/>
          <w:lang w:val="en-US" w:bidi="he-IL"/>
        </w:rPr>
        <w:t xml:space="preserve">British Journal of Sociology, 46</w:t>
      </w:r>
      <w:r>
        <w:rPr>
          <w:rFonts w:ascii="Times New Roman" w:cs="Times New Roman" w:eastAsia="Times New Roman" w:hAnsi="Times New Roman"/>
          <w:i w:val="false"/>
          <w:iCs w:val="false"/>
          <w:noProof/>
          <w:sz w:val="24"/>
          <w:szCs w:val="24"/>
          <w:lang w:val="en-US" w:bidi="he-IL"/>
        </w:rPr>
        <w:t xml:space="preserve">(1), 45-62. https://doi.org/10.2307/591622</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noProof/>
          <w:sz w:val="24"/>
          <w:szCs w:val="24"/>
          <w:lang w:val="en-US" w:bidi="he-IL"/>
        </w:rPr>
        <w:t xml:space="preserve">Criminal Justice and Behavior, 46</w:t>
      </w:r>
      <w:r>
        <w:rPr>
          <w:rFonts w:ascii="Times New Roman" w:cs="Times New Roman" w:eastAsia="Times New Roman" w:hAnsi="Times New Roman"/>
          <w:i w:val="false"/>
          <w:iCs w:val="false"/>
          <w:noProof/>
          <w:sz w:val="24"/>
          <w:szCs w:val="24"/>
          <w:lang w:val="en-US" w:bidi="he-IL"/>
        </w:rPr>
        <w:t xml:space="preserve">(10), 1385-1404. https://doi.org/10.1177/0093854819867373</w:t>
      </w:r>
    </w:p>
    <w:p>
      <w:pPr>
        <w:pStyle w:val="Heading1"/>
        <w:pageBreakBefore/>
        <w:bidi/>
        <w:spacing w:after="240" w:before="0" w:line="360"/>
        <w:jc w:val="right"/>
      </w:pPr>
      <w:r>
        <w:rPr>
          <w:rFonts w:ascii="David" w:cs="David" w:eastAsia="David" w:hAnsi="David"/>
          <w:b/>
          <w:bCs/>
          <w:noProof/>
          <w:sz w:val="32"/>
          <w:szCs w:val="32"/>
          <w:rtl/>
          <w:lang w:val="en-US" w:bidi="he-IL"/>
        </w:rPr>
        <w:t xml:space="preserve">נספחים</w:t>
      </w:r>
    </w:p>
    <w:p>
      <w:pPr>
        <w:pStyle w:val="Heading1"/>
        <w:bidi/>
        <w:spacing w:after="240" w:before="0" w:line="360"/>
        <w:jc w:val="right"/>
      </w:pPr>
      <w:r>
        <w:rPr>
          <w:rFonts w:ascii="David" w:cs="David" w:eastAsia="David" w:hAnsi="David"/>
          <w:b/>
          <w:bCs/>
          <w:noProof/>
          <w:sz w:val="32"/>
          <w:szCs w:val="32"/>
          <w:rtl/>
          <w:lang w:val="en-US" w:bidi="he-IL"/>
        </w:rPr>
        <w:t xml:space="preserve">נספח א'</w:t>
      </w:r>
    </w:p>
    <w:p>
      <w:pPr>
        <w:bidi/>
        <w:spacing w:after="120" w:line="360"/>
        <w:jc w:val="both"/>
      </w:pPr>
      <w:r>
        <w:rPr>
          <w:rFonts w:ascii="David" w:cs="David" w:eastAsia="David" w:hAnsi="David"/>
          <w:noProof/>
          <w:sz w:val="24"/>
          <w:szCs w:val="24"/>
          <w:rtl/>
          <w:lang w:val="en-US" w:bidi="he-IL"/>
        </w:rPr>
        <w:t xml:space="preserve">פלטי </w:t>
      </w:r>
      <w:r>
        <w:rPr>
          <w:rFonts w:ascii="Times New Roman" w:cs="Times New Roman" w:eastAsia="Times New Roman" w:hAnsi="Times New Roman"/>
          <w:noProof/>
          <w:sz w:val="24"/>
          <w:szCs w:val="24"/>
          <w:lang w:val="en-US" w:bidi="he-IL"/>
        </w:rPr>
        <w:t xml:space="preserve">SPSS</w:t>
      </w:r>
    </w:p>
    <w:p>
      <w:pPr>
        <w:bidi/>
        <w:spacing w:after="120" w:line="360"/>
        <w:jc w:val="both"/>
      </w:pPr>
      <w:r>
        <w:rPr>
          <w:rFonts w:ascii="David" w:cs="David" w:eastAsia="David" w:hAnsi="David"/>
          <w:noProof/>
          <w:sz w:val="24"/>
          <w:szCs w:val="24"/>
          <w:rtl/>
          <w:lang w:val="en-US" w:bidi="he-IL"/>
        </w:rPr>
        <w:t xml:space="preserve">להלן הלוחות המרכזיים מפלט ה-</w:t>
      </w:r>
      <w:r>
        <w:rPr>
          <w:rFonts w:ascii="Times New Roman" w:cs="Times New Roman" w:eastAsia="Times New Roman" w:hAnsi="Times New Roman"/>
          <w:noProof/>
          <w:sz w:val="24"/>
          <w:szCs w:val="24"/>
          <w:lang w:val="en-US" w:bidi="he-IL"/>
        </w:rPr>
        <w:t xml:space="preserve">SPSS</w:t>
      </w:r>
      <w:r>
        <w:rPr>
          <w:rFonts w:ascii="David" w:cs="David" w:eastAsia="David" w:hAnsi="David"/>
          <w:noProof/>
          <w:sz w:val="24"/>
          <w:szCs w:val="24"/>
          <w:rtl/>
          <w:lang w:val="en-US" w:bidi="he-IL"/>
        </w:rPr>
        <w:t xml:space="preserve"> (הרצה מיום </w:t>
      </w:r>
      <w:r>
        <w:rPr>
          <w:rFonts w:ascii="Times New Roman" w:cs="Times New Roman" w:eastAsia="Times New Roman" w:hAnsi="Times New Roman"/>
          <w:noProof/>
          <w:sz w:val="24"/>
          <w:szCs w:val="24"/>
          <w:lang w:val="en-US" w:bidi="he-IL"/>
        </w:rPr>
        <w:t xml:space="preserve">8</w:t>
      </w:r>
      <w:r>
        <w:rPr>
          <w:rFonts w:ascii="David" w:cs="David" w:eastAsia="David" w:hAnsi="David"/>
          <w:noProof/>
          <w:sz w:val="24"/>
          <w:szCs w:val="24"/>
          <w:rtl/>
          <w:lang w:val="en-US" w:bidi="he-IL"/>
        </w:rPr>
        <w:t xml:space="preserve"> בספטמבר </w:t>
      </w:r>
      <w:r>
        <w:rPr>
          <w:rFonts w:ascii="Times New Roman" w:cs="Times New Roman" w:eastAsia="Times New Roman" w:hAnsi="Times New Roman"/>
          <w:noProof/>
          <w:sz w:val="24"/>
          <w:szCs w:val="24"/>
          <w:lang w:val="en-US" w:bidi="he-IL"/>
        </w:rPr>
        <w:t xml:space="preserve">2026</w:t>
      </w:r>
      <w:r>
        <w:rPr>
          <w:rFonts w:ascii="David" w:cs="David" w:eastAsia="David" w:hAnsi="David"/>
          <w:noProof/>
          <w:sz w:val="24"/>
          <w:szCs w:val="24"/>
          <w:rtl/>
          <w:lang w:val="en-US" w:bidi="he-I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-1</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Crosstabs, inmate_type</w:t>
      </w:r>
      <w:r>
        <w:rPr>
          <w:rFonts w:ascii="David" w:cs="David" w:eastAsia="David" w:hAnsi="David"/>
          <w:b/>
          <w:bCs/>
          <w:noProof/>
          <w:sz w:val="24"/>
          <w:szCs w:val="24"/>
          <w:rtl/>
          <w:lang w:val="en-US" w:bidi="he-I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-2</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Frequencies, Statistics (Filter: filt_shafut)</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-0.155</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-3</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לגיטימיות הסגל </w:t>
      </w:r>
      <w:r>
        <w:rPr>
          <w:rFonts w:ascii="Times New Roman" w:cs="Times New Roman" w:eastAsia="Times New Roman" w:hAnsi="Times New Roman"/>
          <w:b/>
          <w:bCs/>
          <w:noProof/>
          <w:sz w:val="24"/>
          <w:szCs w:val="24"/>
          <w:lang w:val="en-US" w:bidi="he-IL"/>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0.687</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-4</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רווחה נפשית </w:t>
      </w:r>
      <w:r>
        <w:rPr>
          <w:rFonts w:ascii="Times New Roman" w:cs="Times New Roman" w:eastAsia="Times New Roman" w:hAnsi="Times New Roman"/>
          <w:b/>
          <w:bCs/>
          <w:noProof/>
          <w:sz w:val="24"/>
          <w:szCs w:val="24"/>
          <w:lang w:val="en-US" w:bidi="he-IL"/>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-5</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Descriptives</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(ממוצע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(ממוצע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-6</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Correlations (Pearson)</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all p &lt; 0.001</w:t>
            </w:r>
          </w:p>
        </w:tc>
      </w:tr>
    </w:tbl>
    <w:p>
      <w:pPr>
        <w:bidi/>
        <w:spacing w:after="200" w:before="60" w:line="276"/>
        <w:jc w:val="right"/>
      </w:pPr>
      <w:r>
        <w:rPr>
          <w:rFonts w:ascii="Times New Roman" w:cs="Times New Roman" w:eastAsia="Times New Roman" w:hAnsi="Times New Roman"/>
          <w:noProof/>
          <w:sz w:val="20"/>
          <w:szCs w:val="20"/>
          <w:lang w:val="en-US" w:bidi="he-IL"/>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2026-09-09T18:24:29.157Z</dcterms:created>
  <dcterms:modified xsi:type="dcterms:W3CDTF">2026-09-09T18:24:29.158Z</dcterms:modified>
</cp:coreProperties>
</file>

<file path=docProps/custom.xml><?xml version="1.0" encoding="utf-8"?>
<Properties xmlns="http://schemas.openxmlformats.org/officeDocument/2006/custom-properties" xmlns:vt="http://schemas.openxmlformats.org/officeDocument/2006/docPropsVTypes"/>
</file>