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w:t>
      </w:r>
      <w:r>
        <w:rPr>
          <w:rStyle w:val="FootnoteReference"/>
        </w:rPr>
        <w:footnoteReference w:id="16"/>
      </w:r>
      <w:r>
        <w:rPr>
          <w:rFonts w:ascii="David" w:cs="David" w:eastAsia="David" w:hAnsi="David"/>
          <w:sz w:val="24"/>
          <w:szCs w:val="24"/>
          <w:rtl/>
        </w:rPr>
        <w:t xml:space="preserve"> התוצאה: שכבות של עסקאות – מכר, מתנה, ירושה, חלוקה – שכולן "תלויות באוויר" האובליגטורי ואינן נראות במרשם.</w:t>
      </w:r>
      <w:r>
        <w:rPr>
          <w:rStyle w:val="FootnoteReference"/>
        </w:rPr>
        <w:footnoteReference w:id="17"/>
      </w:r>
    </w:p>
    <w:p>
      <w:pPr>
        <w:bidi/>
        <w:spacing w:after="160" w:line="360"/>
        <w:ind w:firstLine="420"/>
        <w:jc w:val="both"/>
      </w:pPr>
      <w:r>
        <w:rPr>
          <w:rFonts w:ascii="David" w:cs="David" w:eastAsia="David" w:hAnsi="David"/>
          <w:sz w:val="24"/>
          <w:szCs w:val="24"/>
          <w:rtl/>
        </w:rPr>
        <w:t xml:space="preserve">ההקשר הדמוגרפי־חברתי מבהיר את סדרי הגודל: בסוף שנת 2022 מנתה האוכלוסייה הערבית בישראל כ-2.04 מיליון נפש – כ-21.1% מכלל האוכלוסייה – וכשלושה רבעים מן התושבים הערבים מתגוררים ביישובים ערביים הומוגניים, בכ-163 יישובים.</w:t>
      </w:r>
      <w:r>
        <w:rPr>
          <w:rStyle w:val="FootnoteReference"/>
        </w:rPr>
        <w:footnoteReference w:id="18"/>
      </w:r>
      <w:r>
        <w:rPr>
          <w:rFonts w:ascii="David" w:cs="David" w:eastAsia="David" w:hAnsi="David"/>
          <w:sz w:val="24"/>
          <w:szCs w:val="24"/>
          <w:rtl/>
        </w:rPr>
        <w:t xml:space="preserve"> על רקע זה עומדת התובנה שהציע קייס נאסר בחקר התכנון והעיור ביישובים הערביים: הקניין המשפחתי איננו נכס כלכלי גרידא אלא מנגנון לשימור זהות וטריטוריה – הקרקע המוחזקת בידי בני המשפחה מנוצלת לשימורה ולחיזוקה של תרבות הרואה בגרעין המשפחתי את הבסיס לחיים הטובים, והמבנה המרחבי של השכונה החמולתית משקף זאת.</w:t>
      </w:r>
      <w:r>
        <w:rPr>
          <w:rStyle w:val="FootnoteReference"/>
        </w:rPr>
        <w:footnoteReference w:id="19"/>
      </w:r>
      <w:r>
        <w:rPr>
          <w:rFonts w:ascii="David" w:cs="David" w:eastAsia="David" w:hAnsi="David"/>
          <w:sz w:val="24"/>
          <w:szCs w:val="24"/>
          <w:rtl/>
        </w:rPr>
        <w:t xml:space="preserve"> עדות אמפירית עדכנית לעומק התופעה מצויה גם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20"/>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21"/>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22"/>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3"/>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4"/>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5"/>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6"/>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7"/>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8"/>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9"/>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30"/>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31"/>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32"/>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3"/>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4"/>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5"/>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6"/>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קלמר</w:t>
      </w:r>
      <w:r>
        <w:rPr>
          <w:rFonts w:ascii="David" w:cs="David" w:eastAsia="David" w:hAnsi="David"/>
          <w:sz w:val="24"/>
          <w:szCs w:val="24"/>
          <w:rtl/>
        </w:rPr>
        <w:t xml:space="preserve"> לא צמחה בחלל ריק, אלא כשיאו של מהלך פרשני ארוך סביב סעיף 8. הפסיקה המוקדמת, בעקבות הלכת </w:t>
      </w:r>
      <w:r>
        <w:rPr>
          <w:rFonts w:ascii="David" w:cs="David" w:eastAsia="David" w:hAnsi="David"/>
          <w:i/>
          <w:iCs/>
          <w:sz w:val="24"/>
          <w:szCs w:val="24"/>
          <w:rtl/>
        </w:rPr>
        <w:t xml:space="preserve">גרוסמן</w:t>
      </w:r>
      <w:r>
        <w:rPr>
          <w:rFonts w:ascii="David" w:cs="David" w:eastAsia="David" w:hAnsi="David"/>
          <w:sz w:val="24"/>
          <w:szCs w:val="24"/>
          <w:rtl/>
        </w:rPr>
        <w:t xml:space="preserve">, פירשה את הדרישה כמהותית, ובעניין </w:t>
      </w:r>
      <w:r>
        <w:rPr>
          <w:rFonts w:ascii="David" w:cs="David" w:eastAsia="David" w:hAnsi="David"/>
          <w:i/>
          <w:iCs/>
          <w:sz w:val="24"/>
          <w:szCs w:val="24"/>
          <w:rtl/>
        </w:rPr>
        <w:t xml:space="preserve">קפולסקי</w:t>
      </w:r>
      <w:r>
        <w:rPr>
          <w:rFonts w:ascii="David" w:cs="David" w:eastAsia="David" w:hAnsi="David"/>
          <w:sz w:val="24"/>
          <w:szCs w:val="24"/>
          <w:rtl/>
        </w:rPr>
        <w:t xml:space="preserve"> אף נקבעה רשימה של יסודות שחובה שיופיעו במסמך; אולם בהמשך נטשה הפסיקה את עמדתה המקורית – היא צמצמה את מספר הפרטים הנדרשים, פיתחה מנגנוני "השלמה נורמטיבית" מכוח הוראות חוק ונוהג, והתירה להשלים יסוד חסר אף בראיות חיצוניות שבעל־פה – עד שדי כיום, ככלל, במסמך דל פרטים המעיד כי הצדדים גמרו בדעתם להתקשר.</w:t>
      </w:r>
      <w:r>
        <w:rPr>
          <w:rStyle w:val="FootnoteReference"/>
        </w:rPr>
        <w:footnoteReference w:id="37"/>
      </w:r>
      <w:r>
        <w:rPr>
          <w:rFonts w:ascii="David" w:cs="David" w:eastAsia="David" w:hAnsi="David"/>
          <w:sz w:val="24"/>
          <w:szCs w:val="24"/>
          <w:rtl/>
        </w:rPr>
        <w:t xml:space="preserve"> פרידמן וכהן תולים את המפנה המקל, בין היתר, במציאות המוכרת לנו מפרק ב: "היעדר רישום הוא תופעה נפוצה" במציאות הקרקעית של ישראל, וחלק גדול מן העסקאות נעשה בין מי שאינם מוכר או קונה מקצועיים – ואין הצדקה להפוך את דרישת הכתב למלכודת בעבורם.</w:t>
      </w:r>
      <w:r>
        <w:rPr>
          <w:rStyle w:val="FootnoteReference"/>
        </w:rPr>
        <w:footnoteReference w:id="38"/>
      </w:r>
      <w:r>
        <w:rPr>
          <w:rFonts w:ascii="David" w:cs="David" w:eastAsia="David" w:hAnsi="David"/>
          <w:sz w:val="24"/>
          <w:szCs w:val="24"/>
          <w:rtl/>
        </w:rPr>
        <w:t xml:space="preserve"> יישומה של זעקת ההגינות בסכסוך פנים־משפחתי מן החברה הערבית מדגים את כוחה: בעניין </w:t>
      </w:r>
      <w:r>
        <w:rPr>
          <w:rFonts w:ascii="David" w:cs="David" w:eastAsia="David" w:hAnsi="David"/>
          <w:i/>
          <w:iCs/>
          <w:sz w:val="24"/>
          <w:szCs w:val="24"/>
          <w:rtl/>
        </w:rPr>
        <w:t xml:space="preserve">חג׳אזי</w:t>
      </w:r>
      <w:r>
        <w:rPr>
          <w:rFonts w:ascii="David" w:cs="David" w:eastAsia="David" w:hAnsi="David"/>
          <w:sz w:val="24"/>
          <w:szCs w:val="24"/>
          <w:rtl/>
        </w:rPr>
        <w:t xml:space="preserve"> הוחלפו חלקות בין שני בני דודים אך נרשמו בטעות בהצלבה; האחד ניצל את הטעות ותיקן את הרישום רק בחלקה האחת, כך ששתי החלקות נרשמו על שמו ובן דודו נותר בלא כלום. נפסק כי חוסר תום הלב – העולה כדי הפרת חובת נאמנות – בשילוב ביצועה המלא של החלוקה מצדו של הצד השני, ממלאים את מבחני זעקת ההגינות ומרככים את דרישת הכתב.</w:t>
      </w:r>
      <w:r>
        <w:rPr>
          <w:rStyle w:val="FootnoteReference"/>
        </w:rPr>
        <w:footnoteReference w:id="39"/>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40"/>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41"/>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42"/>
      </w:r>
      <w:r>
        <w:rPr>
          <w:rFonts w:ascii="David" w:cs="David" w:eastAsia="David" w:hAnsi="David"/>
          <w:sz w:val="24"/>
          <w:szCs w:val="24"/>
          <w:rtl/>
        </w:rPr>
        <w:t xml:space="preserve"> על התחייבות ליתן מקרקעין במתנה חלה אפוא דרישת כתב כפולה – מכוח סעיף 5(א) לחוק המתנה ומכוח סעיף 8 לחוק המקרקעין – אך דווקא כאן לא הפגינו בתי המשפט אדיקות יתרה בפרשנותה: אין נדרשים מחיר ומועדי תשלום, שאינם ממהותה של מתנה, ודי בכך שהמסמך מזהה את הצדדים ואת הנכס ושעולה ממנו כוונת הענקה בדרך מתנה.</w:t>
      </w:r>
      <w:r>
        <w:rPr>
          <w:rStyle w:val="FootnoteReference"/>
        </w:rPr>
        <w:footnoteReference w:id="43"/>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44"/>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45"/>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46"/>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7"/>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8"/>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9"/>
      </w:r>
      <w:r>
        <w:rPr>
          <w:rFonts w:ascii="David" w:cs="David" w:eastAsia="David" w:hAnsi="David"/>
          <w:sz w:val="24"/>
          <w:szCs w:val="24"/>
          <w:rtl/>
        </w:rPr>
        <w:t xml:space="preserve"> הרשות אינה טעונה הסכם מפורש: כבר בעניין </w:t>
      </w:r>
      <w:r>
        <w:rPr>
          <w:rFonts w:ascii="David" w:cs="David" w:eastAsia="David" w:hAnsi="David"/>
          <w:i/>
          <w:iCs/>
          <w:sz w:val="24"/>
          <w:szCs w:val="24"/>
          <w:rtl/>
        </w:rPr>
        <w:t xml:space="preserve">טבוליצקי</w:t>
      </w:r>
      <w:r>
        <w:rPr>
          <w:rFonts w:ascii="David" w:cs="David" w:eastAsia="David" w:hAnsi="David"/>
          <w:sz w:val="24"/>
          <w:szCs w:val="24"/>
          <w:rtl/>
        </w:rPr>
        <w:t xml:space="preserve"> נקבע כי רישיון מכללא (implied license) נלמד משתיקתם של הבעלים, מקום שאדם החזיק והשתמש בנכס זמן ניכר בידיעתם ובלא מחאה מצדם; ובפסיקת ההמשך זוקקו שני יסודות מצטברים – שהייה ממושכת במקרקעין, וידיעת הבעלים על ההחזקה בלא שעשו דבר לאורך תקופה ארוכה.</w:t>
      </w:r>
      <w:r>
        <w:rPr>
          <w:rStyle w:val="FootnoteReference"/>
        </w:rPr>
        <w:footnoteReference w:id="50"/>
      </w:r>
      <w:r>
        <w:rPr>
          <w:rFonts w:ascii="David" w:cs="David" w:eastAsia="David" w:hAnsi="David"/>
          <w:sz w:val="24"/>
          <w:szCs w:val="24"/>
          <w:rtl/>
        </w:rPr>
        <w:t xml:space="preserve"> זהו תיאור כמעט מדויק של "שלב ההרמוניה" שתואר בפרק ב: החזקה גלויה, ממושכת ובידיעת כל בני המשפחה – ואיש אינו מוחה. הפסיקה אף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51"/>
      </w:r>
      <w:r>
        <w:rPr>
          <w:rFonts w:ascii="David" w:cs="David" w:eastAsia="David" w:hAnsi="David"/>
          <w:sz w:val="24"/>
          <w:szCs w:val="24"/>
          <w:rtl/>
        </w:rPr>
        <w:t xml:space="preserve"> ובהקשר המשפחתי פועלים יסודות אלה במלוא עוצמתם – בעניין </w:t>
      </w:r>
      <w:r>
        <w:rPr>
          <w:rFonts w:ascii="David" w:cs="David" w:eastAsia="David" w:hAnsi="David"/>
          <w:i/>
          <w:iCs/>
          <w:sz w:val="24"/>
          <w:szCs w:val="24"/>
          <w:rtl/>
        </w:rPr>
        <w:t xml:space="preserve">לוי נ׳ ויימן</w:t>
      </w:r>
      <w:r>
        <w:rPr>
          <w:rFonts w:ascii="David" w:cs="David" w:eastAsia="David" w:hAnsi="David"/>
          <w:sz w:val="24"/>
          <w:szCs w:val="24"/>
          <w:rtl/>
        </w:rPr>
        <w:t xml:space="preserve"> הוכר כי רשות מגורים שניתנה במסגרת המשפחה עשויה להיות בלתי הדירה, ומקום שקרע משפחתי מחייב בכל זאת פרידה – יותנה הפינוי בפיצוי ממשי.</w:t>
      </w:r>
      <w:r>
        <w:rPr>
          <w:rStyle w:val="FootnoteReference"/>
        </w:rPr>
        <w:footnoteReference w:id="52"/>
      </w:r>
      <w:r>
        <w:rPr>
          <w:rFonts w:ascii="David" w:cs="David" w:eastAsia="David" w:hAnsi="David"/>
          <w:sz w:val="24"/>
          <w:szCs w:val="24"/>
          <w:rtl/>
        </w:rPr>
        <w:t xml:space="preserve"> עם זאת הזהירה הפסיקה העדכנית כי ככלל יש לנהוג משנה זהירות בקביעה כי רשות היא בלתי הדירה, וכי זכות כזו תוכר רק במקרים חריגים ויוצאי דופן.</w:t>
      </w:r>
      <w:r>
        <w:rPr>
          <w:rStyle w:val="FootnoteReference"/>
        </w:rPr>
        <w:footnoteReference w:id="53"/>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54"/>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bidi/>
        <w:spacing w:after="160" w:line="360"/>
        <w:ind w:firstLine="420"/>
        <w:jc w:val="both"/>
      </w:pPr>
      <w:r>
        <w:rPr>
          <w:rFonts w:ascii="David" w:cs="David" w:eastAsia="David" w:hAnsi="David"/>
          <w:sz w:val="24"/>
          <w:szCs w:val="24"/>
          <w:rtl/>
        </w:rPr>
        <w:t xml:space="preserve">ואולם דווקא במקרים החריגים שבהם מוכרת אי־הדירות, חורג הרישיון ממעמדו האישי. בעניין </w:t>
      </w:r>
      <w:r>
        <w:rPr>
          <w:rFonts w:ascii="David" w:cs="David" w:eastAsia="David" w:hAnsi="David"/>
          <w:i/>
          <w:iCs/>
          <w:sz w:val="24"/>
          <w:szCs w:val="24"/>
          <w:rtl/>
        </w:rPr>
        <w:t xml:space="preserve">אלוני נ׳ ארד</w:t>
      </w:r>
      <w:r>
        <w:rPr>
          <w:rFonts w:ascii="David" w:cs="David" w:eastAsia="David" w:hAnsi="David"/>
          <w:sz w:val="24"/>
          <w:szCs w:val="24"/>
          <w:rtl/>
        </w:rPr>
        <w:t xml:space="preserve"> העניקו הורים לבנם ולכלתו זכות מגורים בנחלתם; משהוטל עיקול על זכויות ההורים, נפסק כי זכות בר־הרשות הבלתי הדירה גוברת על המעקל: מקום שהצדק מחייב את קיומה של זכות בלתי הדירה, מכוחו של השתק – המכונה גם השתק קנייני (proprietary estoppel) – תחול הזכות אף כלפי צד שלישי שאליו עברו זכויות בעל המקרקעין, נושה, יורש או רוכש, למעט רוכש בתמורה ובתום לב שלא ידע על זכות השימוש.</w:t>
      </w:r>
      <w:r>
        <w:rPr>
          <w:rStyle w:val="FootnoteReference"/>
        </w:rPr>
        <w:footnoteReference w:id="55"/>
      </w:r>
      <w:r>
        <w:rPr>
          <w:rFonts w:ascii="David" w:cs="David" w:eastAsia="David" w:hAnsi="David"/>
          <w:sz w:val="24"/>
          <w:szCs w:val="24"/>
          <w:rtl/>
        </w:rPr>
        <w:t xml:space="preserve"> זהו אחד המקומות שבהם הדוקטרינה הישראלית קוראת לעצמה בשמה האנגלי – עדות לכך שהזיקה לדיני היושר המשווים, שתידון בפרק ו, איננה מטפורה אלא ייחוס מפורש. ולבסוף, גם רישיון שבוטל כדין אינו מותיר את בר־הרשות בידיים ריקות: ביטולה של רשות שהושקע על יסודה עשוי להיות מותנה בפיצוי, אלא שההלכה גודרת אותו – פיצוי בגין השבחת המקרקעין, קרי ההשקעות שהשביחו את הקרקע, ולא פיצוי בגין זכות כלשהי במקרקעין.</w:t>
      </w:r>
      <w:r>
        <w:rPr>
          <w:rStyle w:val="FootnoteReference"/>
        </w:rPr>
        <w:footnoteReference w:id="56"/>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57"/>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58"/>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59"/>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60"/>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61"/>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62"/>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63"/>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64"/>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65"/>
      </w:r>
      <w:r>
        <w:rPr>
          <w:rFonts w:ascii="David" w:cs="David" w:eastAsia="David" w:hAnsi="David"/>
          <w:sz w:val="24"/>
          <w:szCs w:val="24"/>
          <w:rtl/>
        </w:rPr>
        <w:t xml:space="preserve"> וההבחנה בין זכות קניינית לזכות חוזית גרידא נושאת נפקות כפולה.</w:t>
      </w:r>
      <w:r>
        <w:rPr>
          <w:rStyle w:val="FootnoteReference"/>
        </w:rPr>
        <w:footnoteReference w:id="66"/>
      </w:r>
      <w:r>
        <w:rPr>
          <w:rFonts w:ascii="David" w:cs="David" w:eastAsia="David" w:hAnsi="David"/>
          <w:sz w:val="24"/>
          <w:szCs w:val="24"/>
          <w:rtl/>
        </w:rPr>
        <w:t xml:space="preserve"> במישור המהותי היא נקבעה כבר בעניין </w:t>
      </w:r>
      <w:r>
        <w:rPr>
          <w:rFonts w:ascii="David" w:cs="David" w:eastAsia="David" w:hAnsi="David"/>
          <w:i/>
          <w:iCs/>
          <w:sz w:val="24"/>
          <w:szCs w:val="24"/>
          <w:rtl/>
        </w:rPr>
        <w:t xml:space="preserve">חשש נ׳ דמארי</w:t>
      </w:r>
      <w:r>
        <w:rPr>
          <w:rFonts w:ascii="David" w:cs="David" w:eastAsia="David" w:hAnsi="David"/>
          <w:sz w:val="24"/>
          <w:szCs w:val="24"/>
          <w:rtl/>
        </w:rPr>
        <w:t xml:space="preserve">: מקום שהמקנה עצמו מחזיק רק במעמד של בר־רשות ובזכות אובליגטורית לדרוש חכירה ממינהל מקרקעי ישראל, הסכם – אף בעל־פה – לשיתוף בזכויות אלה איננו "עסקה במקרקעין" הטעונה מסמך בכתב, שהרי אין בידי המקנה זכות קניינית להקנות; ובן הזוג זכאי, ביחסים הפנימיים, למחצית הזכויות האובליגטוריות כלפי המינהל.</w:t>
      </w:r>
      <w:r>
        <w:rPr>
          <w:rStyle w:val="FootnoteReference"/>
        </w:rPr>
        <w:footnoteReference w:id="67"/>
      </w:r>
      <w:r>
        <w:rPr>
          <w:rFonts w:ascii="David" w:cs="David" w:eastAsia="David" w:hAnsi="David"/>
          <w:sz w:val="24"/>
          <w:szCs w:val="24"/>
          <w:rtl/>
        </w:rPr>
        <w:t xml:space="preserve"> ובמישור הדיוני – לעניין סיווג התביעה וסמכות הערכאות.</w:t>
      </w:r>
      <w:r>
        <w:rPr>
          <w:rStyle w:val="FootnoteReference"/>
        </w:rPr>
        <w:footnoteReference w:id="68"/>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69"/>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70"/>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71"/>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72"/>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73"/>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74"/>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75"/>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76"/>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77"/>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78"/>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79"/>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80"/>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81"/>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82"/>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83"/>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84"/>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85"/>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86"/>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87"/>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88"/>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89"/>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90"/>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r>
        <w:rPr>
          <w:rStyle w:val="FootnoteReference"/>
        </w:rPr>
        <w:footnoteReference w:id="91"/>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92"/>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93"/>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94"/>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95"/>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96"/>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98"/>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99"/>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100"/>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101"/>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102"/>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103"/>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104"/>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105"/>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106"/>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107"/>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108"/>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109"/>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110"/>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111"/>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112"/>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113"/>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114"/>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15"/>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16"/>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17"/>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18"/>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19"/>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20"/>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21"/>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22"/>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23"/>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24"/>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25"/>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26"/>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27"/>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28"/>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29"/>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30"/>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31"/>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32"/>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33"/>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34"/>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35"/>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36"/>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37"/>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38"/>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649/73 </w:t>
      </w:r>
      <w:r>
        <w:rPr>
          <w:rFonts w:ascii="David" w:cs="David" w:eastAsia="David" w:hAnsi="David"/>
          <w:i/>
          <w:iCs/>
          <w:sz w:val="24"/>
          <w:szCs w:val="24"/>
          <w:rtl/>
        </w:rPr>
        <w:t xml:space="preserve">קפולסקי נ׳ גני גולן בע"מ</w:t>
      </w:r>
      <w:r>
        <w:rPr>
          <w:rFonts w:ascii="David" w:cs="David" w:eastAsia="David" w:hAnsi="David"/>
          <w:sz w:val="24"/>
          <w:szCs w:val="24"/>
          <w:rtl/>
        </w:rPr>
        <w:t xml:space="preserve">, פ"ד כח(2) 291 (1974).</w:t>
      </w:r>
    </w:p>
    <w:p>
      <w:pPr>
        <w:bidi/>
        <w:spacing w:after="120" w:line="300"/>
        <w:ind w:start="420" w:hanging="420"/>
        <w:jc w:val="both"/>
      </w:pPr>
      <w:r>
        <w:rPr>
          <w:rFonts w:ascii="David" w:cs="David" w:eastAsia="David" w:hAnsi="David"/>
          <w:sz w:val="24"/>
          <w:szCs w:val="24"/>
          <w:rtl/>
        </w:rPr>
        <w:t xml:space="preserve">ע"א 515/76 </w:t>
      </w:r>
      <w:r>
        <w:rPr>
          <w:rFonts w:ascii="David" w:cs="David" w:eastAsia="David" w:hAnsi="David"/>
          <w:i/>
          <w:iCs/>
          <w:sz w:val="24"/>
          <w:szCs w:val="24"/>
          <w:rtl/>
        </w:rPr>
        <w:t xml:space="preserve">לוי נ׳ ויימן</w:t>
      </w:r>
      <w:r>
        <w:rPr>
          <w:rFonts w:ascii="David" w:cs="David" w:eastAsia="David" w:hAnsi="David"/>
          <w:sz w:val="24"/>
          <w:szCs w:val="24"/>
          <w:rtl/>
        </w:rPr>
        <w:t xml:space="preserve">, פ"ד לא(2) 127 (1977).</w:t>
      </w:r>
    </w:p>
    <w:p>
      <w:pPr>
        <w:bidi/>
        <w:spacing w:after="120" w:line="300"/>
        <w:ind w:start="420" w:hanging="420"/>
        <w:jc w:val="both"/>
      </w:pPr>
      <w:r>
        <w:rPr>
          <w:rFonts w:ascii="David" w:cs="David" w:eastAsia="David" w:hAnsi="David"/>
          <w:sz w:val="24"/>
          <w:szCs w:val="24"/>
          <w:rtl/>
        </w:rPr>
        <w:t xml:space="preserve">ע"א 514/76 </w:t>
      </w:r>
      <w:r>
        <w:rPr>
          <w:rFonts w:ascii="David" w:cs="David" w:eastAsia="David" w:hAnsi="David"/>
          <w:i/>
          <w:iCs/>
          <w:sz w:val="24"/>
          <w:szCs w:val="24"/>
          <w:rtl/>
        </w:rPr>
        <w:t xml:space="preserve">חשש נ׳ דמארי</w:t>
      </w:r>
      <w:r>
        <w:rPr>
          <w:rFonts w:ascii="David" w:cs="David" w:eastAsia="David" w:hAnsi="David"/>
          <w:sz w:val="24"/>
          <w:szCs w:val="24"/>
          <w:rtl/>
        </w:rPr>
        <w:t xml:space="preserve">, פ"ד לא(2) 505 (1977).</w:t>
      </w:r>
    </w:p>
    <w:p>
      <w:pPr>
        <w:bidi/>
        <w:spacing w:after="120" w:line="300"/>
        <w:ind w:start="420" w:hanging="420"/>
        <w:jc w:val="both"/>
      </w:pPr>
      <w:r>
        <w:rPr>
          <w:rFonts w:ascii="David" w:cs="David" w:eastAsia="David" w:hAnsi="David"/>
          <w:sz w:val="24"/>
          <w:szCs w:val="24"/>
          <w:rtl/>
        </w:rPr>
        <w:t xml:space="preserve">ע"א 32/77 </w:t>
      </w:r>
      <w:r>
        <w:rPr>
          <w:rFonts w:ascii="David" w:cs="David" w:eastAsia="David" w:hAnsi="David"/>
          <w:i/>
          <w:iCs/>
          <w:sz w:val="24"/>
          <w:szCs w:val="24"/>
          <w:rtl/>
        </w:rPr>
        <w:t xml:space="preserve">טבוליצקי נ׳ בית-כנסת ובית-מדרש החסידים</w:t>
      </w:r>
      <w:r>
        <w:rPr>
          <w:rFonts w:ascii="David" w:cs="David" w:eastAsia="David" w:hAnsi="David"/>
          <w:sz w:val="24"/>
          <w:szCs w:val="24"/>
          <w:rtl/>
        </w:rPr>
        <w:t xml:space="preserve">, פ"ד לא(3) 210 (1977).</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רע"א 1156/02 </w:t>
      </w:r>
      <w:r>
        <w:rPr>
          <w:rFonts w:ascii="David" w:cs="David" w:eastAsia="David" w:hAnsi="David"/>
          <w:i/>
          <w:iCs/>
          <w:sz w:val="24"/>
          <w:szCs w:val="24"/>
          <w:rtl/>
        </w:rPr>
        <w:t xml:space="preserve">חיר נ׳ לידאי</w:t>
      </w:r>
      <w:r>
        <w:rPr>
          <w:rFonts w:ascii="David" w:cs="David" w:eastAsia="David" w:hAnsi="David"/>
          <w:sz w:val="24"/>
          <w:szCs w:val="24"/>
          <w:rtl/>
        </w:rPr>
        <w:t xml:space="preserve">, פ"ד נז(3) 949 (2003).</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7139/99 </w:t>
      </w:r>
      <w:r>
        <w:rPr>
          <w:rFonts w:ascii="David" w:cs="David" w:eastAsia="David" w:hAnsi="David"/>
          <w:i/>
          <w:iCs/>
          <w:sz w:val="24"/>
          <w:szCs w:val="24"/>
          <w:rtl/>
        </w:rPr>
        <w:t xml:space="preserve">אלוני נ׳ ארד</w:t>
      </w:r>
      <w:r>
        <w:rPr>
          <w:rFonts w:ascii="David" w:cs="David" w:eastAsia="David" w:hAnsi="David"/>
          <w:sz w:val="24"/>
          <w:szCs w:val="24"/>
          <w:rtl/>
        </w:rPr>
        <w:t xml:space="preserve">, פ"ד נח(4) 27 (2004).</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6766/11 </w:t>
      </w:r>
      <w:r>
        <w:rPr>
          <w:rFonts w:ascii="David" w:cs="David" w:eastAsia="David" w:hAnsi="David"/>
          <w:i/>
          <w:iCs/>
          <w:sz w:val="24"/>
          <w:szCs w:val="24"/>
          <w:rtl/>
        </w:rPr>
        <w:t xml:space="preserve">חג׳אזי נ׳ חג׳אזי</w:t>
      </w:r>
      <w:r>
        <w:rPr>
          <w:rFonts w:ascii="David" w:cs="David" w:eastAsia="David" w:hAnsi="David"/>
          <w:sz w:val="24"/>
          <w:szCs w:val="24"/>
          <w:rtl/>
        </w:rPr>
        <w:t xml:space="preserve"> (נבו 23.6.2013).</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ע"א 6757/13 </w:t>
      </w:r>
      <w:r>
        <w:rPr>
          <w:rFonts w:ascii="David" w:cs="David" w:eastAsia="David" w:hAnsi="David"/>
          <w:i/>
          <w:iCs/>
          <w:sz w:val="24"/>
          <w:szCs w:val="24"/>
          <w:rtl/>
        </w:rPr>
        <w:t xml:space="preserve">נחום נ׳ רשות הפיתוח</w:t>
      </w:r>
      <w:r>
        <w:rPr>
          <w:rFonts w:ascii="David" w:cs="David" w:eastAsia="David" w:hAnsi="David"/>
          <w:sz w:val="24"/>
          <w:szCs w:val="24"/>
          <w:rtl/>
        </w:rPr>
        <w:t xml:space="preserve"> (נבו 19.8.2015).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bidi/>
        <w:spacing w:after="120" w:line="300"/>
        <w:ind w:start="420" w:hanging="420"/>
        <w:jc w:val="both"/>
      </w:pPr>
      <w:r>
        <w:rPr>
          <w:rFonts w:ascii="David" w:cs="David" w:eastAsia="David" w:hAnsi="David"/>
          <w:sz w:val="24"/>
          <w:szCs w:val="24"/>
          <w:rtl/>
        </w:rPr>
        <w:t xml:space="preserve">ת"א (מחוזי חי׳) 41898-04-18 </w:t>
      </w:r>
      <w:r>
        <w:rPr>
          <w:rFonts w:ascii="David" w:cs="David" w:eastAsia="David" w:hAnsi="David"/>
          <w:i/>
          <w:iCs/>
          <w:sz w:val="24"/>
          <w:szCs w:val="24"/>
          <w:rtl/>
        </w:rPr>
        <w:t xml:space="preserve">שחוק נ׳ עיזבון המנוח שחוק ז"ל</w:t>
      </w:r>
      <w:r>
        <w:rPr>
          <w:rFonts w:ascii="David" w:cs="David" w:eastAsia="David" w:hAnsi="David"/>
          <w:sz w:val="24"/>
          <w:szCs w:val="24"/>
          <w:rtl/>
        </w:rPr>
        <w:t xml:space="preserve"> (נבו 21.2.2021).</w:t>
      </w:r>
    </w:p>
    <w:p>
      <w:pPr>
        <w:bidi/>
        <w:spacing w:after="120" w:line="300"/>
        <w:ind w:start="420" w:hanging="420"/>
        <w:jc w:val="both"/>
      </w:pPr>
      <w:r>
        <w:rPr>
          <w:rFonts w:ascii="David" w:cs="David" w:eastAsia="David" w:hAnsi="David"/>
          <w:sz w:val="24"/>
          <w:szCs w:val="24"/>
          <w:rtl/>
        </w:rPr>
        <w:t xml:space="preserve">תמ"ש (משפחה נצ׳) 59099-02-24 </w:t>
      </w:r>
      <w:r>
        <w:rPr>
          <w:rFonts w:ascii="David" w:cs="David" w:eastAsia="David" w:hAnsi="David"/>
          <w:i/>
          <w:iCs/>
          <w:sz w:val="24"/>
          <w:szCs w:val="24"/>
          <w:rtl/>
        </w:rPr>
        <w:t xml:space="preserve">א.ז נ׳ מ.ז</w:t>
      </w:r>
      <w:r>
        <w:rPr>
          <w:rFonts w:ascii="David" w:cs="David" w:eastAsia="David" w:hAnsi="David"/>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"חוזים על פי דיני התורה" כתר א 71 (תשנ"ו).</w:t>
      </w:r>
    </w:p>
    <w:p>
      <w:pPr>
        <w:bidi/>
        <w:spacing w:after="120" w:line="300"/>
        <w:ind w:start="420" w:hanging="420"/>
        <w:jc w:val="both"/>
      </w:pPr>
      <w:r>
        <w:rPr>
          <w:rFonts w:ascii="David" w:cs="David" w:eastAsia="David" w:hAnsi="David"/>
          <w:sz w:val="24"/>
          <w:szCs w:val="24"/>
          <w:rtl/>
        </w:rPr>
        <w:t xml:space="preserve">מוחמד ח׳לאילה ואחמד בדראן </w:t>
      </w:r>
      <w:r>
        <w:rPr>
          <w:rFonts w:ascii="David" w:cs="David" w:eastAsia="David" w:hAnsi="David"/>
          <w:i/>
          <w:iCs/>
          <w:sz w:val="24"/>
          <w:szCs w:val="24"/>
          <w:rtl/>
        </w:rPr>
        <w:t xml:space="preserve">שנתון החברה הערבית בישראל 2023</w:t>
      </w:r>
      <w:r>
        <w:rPr>
          <w:rFonts w:ascii="David" w:cs="David" w:eastAsia="David" w:hAnsi="David"/>
          <w:sz w:val="24"/>
          <w:szCs w:val="24"/>
          <w:rtl/>
        </w:rPr>
        <w:t xml:space="preserve"> (2023).</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קייס נאסר </w:t>
      </w:r>
      <w:r>
        <w:rPr>
          <w:rFonts w:ascii="David" w:cs="David" w:eastAsia="David" w:hAnsi="David"/>
          <w:i/>
          <w:iCs/>
          <w:sz w:val="24"/>
          <w:szCs w:val="24"/>
          <w:rtl/>
        </w:rPr>
        <w:t xml:space="preserve">תהליכי התכנון והעיור ביישובים הערביים בישראל</w:t>
      </w:r>
      <w:r>
        <w:rPr>
          <w:rFonts w:ascii="David" w:cs="David" w:eastAsia="David" w:hAnsi="David"/>
          <w:sz w:val="24"/>
          <w:szCs w:val="24"/>
          <w:rtl/>
        </w:rPr>
        <w:t xml:space="preserve"> (רביב שלו עורך, 2020).</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דניאל פרידמן ונילי כהן </w:t>
      </w:r>
      <w:r>
        <w:rPr>
          <w:rFonts w:ascii="David" w:cs="David" w:eastAsia="David" w:hAnsi="David"/>
          <w:i/>
          <w:iCs/>
          <w:sz w:val="24"/>
          <w:szCs w:val="24"/>
          <w:rtl/>
        </w:rPr>
        <w:t xml:space="preserve">חוזים</w:t>
      </w:r>
      <w:r>
        <w:rPr>
          <w:rFonts w:ascii="David" w:cs="David" w:eastAsia="David" w:hAnsi="David"/>
          <w:sz w:val="24"/>
          <w:szCs w:val="24"/>
          <w:rtl/>
        </w:rPr>
        <w:t xml:space="preserve"> כרך א (מהדורה שנייה, 2018).</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שי שטרן </w:t>
      </w:r>
      <w:r>
        <w:rPr>
          <w:rFonts w:ascii="David" w:cs="David" w:eastAsia="David" w:hAnsi="David"/>
          <w:i/>
          <w:iCs/>
          <w:sz w:val="24"/>
          <w:szCs w:val="24"/>
          <w:rtl/>
        </w:rPr>
        <w:t xml:space="preserve">קהילות במשפט</w:t>
      </w:r>
      <w:r>
        <w:rPr>
          <w:rFonts w:ascii="David" w:cs="David" w:eastAsia="David" w:hAnsi="David"/>
          <w:sz w:val="24"/>
          <w:szCs w:val="24"/>
          <w:rtl/>
        </w:rPr>
        <w:t xml:space="preserve"> (2026).</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שי שטרן </w:t>
      </w:r>
      <w:r>
        <w:rPr>
          <w:rFonts w:ascii="David" w:cs="David" w:eastAsia="David" w:hAnsi="David"/>
          <w:i/>
          <w:iCs/>
          <w:sz w:val="20"/>
          <w:szCs w:val="20"/>
          <w:rtl/>
        </w:rPr>
        <w:t xml:space="preserve">קהילות במשפט</w:t>
      </w:r>
      <w:r>
        <w:rPr>
          <w:rFonts w:ascii="David" w:cs="David" w:eastAsia="David" w:hAnsi="David"/>
          <w:sz w:val="20"/>
          <w:szCs w:val="20"/>
          <w:rtl/>
        </w:rPr>
        <w:t xml:space="preserve"> 252–253 (2026) (להלן: שטרן): המפגש בין תפיסות המרחב של הקהילות הערביות – קהילות מבוססות-מקום (place-based communities) – ובין מגמות התכנון הממלכתיות הוליד "מחסור אקוטי בדיור, היעדר תכנון מרחבי ותשתיתי והרחבה ניכרת של בנייה חורגת למגורים ולעסקים".</w:t>
      </w:r>
    </w:p>
  </w:footnote>
  <w:footnote w:id="17">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8">
    <w:p>
      <w:pPr>
        <w:bidi/>
        <w:spacing w:after="60"/>
      </w:pPr>
      <w:r>
        <w:rPr>
          <w:rStyle w:val="FootnoteReference"/>
        </w:rPr>
        <w:footnoteRef/>
      </w:r>
      <w:r>
        <w:rPr>
          <w:rFonts w:ascii="David" w:cs="David" w:eastAsia="David" w:hAnsi="David"/>
          <w:sz w:val="20"/>
          <w:szCs w:val="20"/>
          <w:rtl/>
        </w:rPr>
        <w:t xml:space="preserve">מוחמד ח׳לאילה ואחמד בדראן </w:t>
      </w:r>
      <w:r>
        <w:rPr>
          <w:rFonts w:ascii="David" w:cs="David" w:eastAsia="David" w:hAnsi="David"/>
          <w:i/>
          <w:iCs/>
          <w:sz w:val="20"/>
          <w:szCs w:val="20"/>
          <w:rtl/>
        </w:rPr>
        <w:t xml:space="preserve">שנתון החברה הערבית בישראל 2023</w:t>
      </w:r>
      <w:r>
        <w:rPr>
          <w:rFonts w:ascii="David" w:cs="David" w:eastAsia="David" w:hAnsi="David"/>
          <w:sz w:val="20"/>
          <w:szCs w:val="20"/>
          <w:rtl/>
        </w:rPr>
        <w:t xml:space="preserve"> (2023).</w:t>
      </w:r>
    </w:p>
  </w:footnote>
  <w:footnote w:id="19">
    <w:p>
      <w:pPr>
        <w:bidi/>
        <w:spacing w:after="60"/>
      </w:pPr>
      <w:r>
        <w:rPr>
          <w:rStyle w:val="FootnoteReference"/>
        </w:rPr>
        <w:footnoteRef/>
      </w:r>
      <w:r>
        <w:rPr>
          <w:rFonts w:ascii="David" w:cs="David" w:eastAsia="David" w:hAnsi="David"/>
          <w:sz w:val="20"/>
          <w:szCs w:val="20"/>
          <w:rtl/>
        </w:rPr>
        <w:t xml:space="preserve">קייס נאסר </w:t>
      </w:r>
      <w:r>
        <w:rPr>
          <w:rFonts w:ascii="David" w:cs="David" w:eastAsia="David" w:hAnsi="David"/>
          <w:i/>
          <w:iCs/>
          <w:sz w:val="20"/>
          <w:szCs w:val="20"/>
          <w:rtl/>
        </w:rPr>
        <w:t xml:space="preserve">תהליכי התכנון והעיור ביישובים הערביים בישראל</w:t>
      </w:r>
      <w:r>
        <w:rPr>
          <w:rFonts w:ascii="David" w:cs="David" w:eastAsia="David" w:hAnsi="David"/>
          <w:sz w:val="20"/>
          <w:szCs w:val="20"/>
          <w:rtl/>
        </w:rPr>
        <w:t xml:space="preserve"> (רביב שלו עורך, 2020). לאימוץ הניתוח ראו שטרן, </w:t>
      </w:r>
      <w:r>
        <w:rPr>
          <w:rFonts w:ascii="David" w:cs="David" w:eastAsia="David" w:hAnsi="David"/>
          <w:sz w:val="20"/>
          <w:szCs w:val="20"/>
          <w:rtl/>
        </w:rPr>
        <w:t xml:space="preserve">לעיל ה"ש 16</w:t>
      </w:r>
      <w:r>
        <w:rPr>
          <w:rFonts w:ascii="David" w:cs="David" w:eastAsia="David" w:hAnsi="David"/>
          <w:sz w:val="20"/>
          <w:szCs w:val="20"/>
          <w:rtl/>
        </w:rPr>
        <w:t xml:space="preserve">, בעמ׳ 248–249, המכתיר את הקהילה הערבית "כמנגנון לשימור זהות וטריטוריה" ומדגיש כי הקניין המשפחתי משמש בה בסיס חברתי-תרבותי, לא נכס סחיר גרידא.</w:t>
      </w:r>
    </w:p>
  </w:footnote>
  <w:footnote w:id="20">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21">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22">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3">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4">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5">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6">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7">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8">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w:t>
      </w:r>
    </w:p>
  </w:footnote>
  <w:footnote w:id="29">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30">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31">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17</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32">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1244–1245.</w:t>
      </w:r>
    </w:p>
  </w:footnote>
  <w:footnote w:id="33">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1242.</w:t>
      </w:r>
    </w:p>
  </w:footnote>
  <w:footnote w:id="34">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6">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7">
    <w:p>
      <w:pPr>
        <w:bidi/>
        <w:spacing w:after="60"/>
      </w:pPr>
      <w:r>
        <w:rPr>
          <w:rStyle w:val="FootnoteReference"/>
        </w:rPr>
        <w:footnoteRef/>
      </w:r>
      <w:r>
        <w:rPr>
          <w:rFonts w:ascii="David" w:cs="David" w:eastAsia="David" w:hAnsi="David"/>
          <w:sz w:val="20"/>
          <w:szCs w:val="20"/>
          <w:rtl/>
        </w:rPr>
        <w:t xml:space="preserve">ע"א 649/73 </w:t>
      </w:r>
      <w:r>
        <w:rPr>
          <w:rFonts w:ascii="David" w:cs="David" w:eastAsia="David" w:hAnsi="David"/>
          <w:i/>
          <w:iCs/>
          <w:sz w:val="20"/>
          <w:szCs w:val="20"/>
          <w:rtl/>
        </w:rPr>
        <w:t xml:space="preserve">קפולסקי נ׳ גני גולן בע"מ</w:t>
      </w:r>
      <w:r>
        <w:rPr>
          <w:rFonts w:ascii="David" w:cs="David" w:eastAsia="David" w:hAnsi="David"/>
          <w:sz w:val="20"/>
          <w:szCs w:val="20"/>
          <w:rtl/>
        </w:rPr>
        <w:t xml:space="preserve">, פ"ד כח(2) 291 (1974); עניין </w:t>
      </w:r>
      <w:r>
        <w:rPr>
          <w:rFonts w:ascii="David" w:cs="David" w:eastAsia="David" w:hAnsi="David"/>
          <w:i/>
          <w:iCs/>
          <w:sz w:val="20"/>
          <w:szCs w:val="20"/>
          <w:rtl/>
        </w:rPr>
        <w:t xml:space="preserve">גרוסמן</w:t>
      </w:r>
      <w:r>
        <w:rPr>
          <w:rFonts w:ascii="David" w:cs="David" w:eastAsia="David" w:hAnsi="David"/>
          <w:sz w:val="20"/>
          <w:szCs w:val="20"/>
          <w:rtl/>
        </w:rPr>
        <w:t xml:space="preserve">, </w:t>
      </w:r>
      <w:r>
        <w:rPr>
          <w:rFonts w:ascii="David" w:cs="David" w:eastAsia="David" w:hAnsi="David"/>
          <w:sz w:val="20"/>
          <w:szCs w:val="20"/>
          <w:rtl/>
        </w:rPr>
        <w:t xml:space="preserve">לעיל ה"ש 6</w:t>
      </w:r>
      <w:r>
        <w:rPr>
          <w:rFonts w:ascii="David" w:cs="David" w:eastAsia="David" w:hAnsi="David"/>
          <w:sz w:val="20"/>
          <w:szCs w:val="20"/>
          <w:rtl/>
        </w:rPr>
        <w:t xml:space="preserve">; ולסקירת המהלך כולו ראו דניאל פרידמן ונילי כהן </w:t>
      </w:r>
      <w:r>
        <w:rPr>
          <w:rFonts w:ascii="David" w:cs="David" w:eastAsia="David" w:hAnsi="David"/>
          <w:i/>
          <w:iCs/>
          <w:sz w:val="20"/>
          <w:szCs w:val="20"/>
          <w:rtl/>
        </w:rPr>
        <w:t xml:space="preserve">חוזים</w:t>
      </w:r>
      <w:r>
        <w:rPr>
          <w:rFonts w:ascii="David" w:cs="David" w:eastAsia="David" w:hAnsi="David"/>
          <w:sz w:val="20"/>
          <w:szCs w:val="20"/>
          <w:rtl/>
        </w:rPr>
        <w:t xml:space="preserve"> כרך א 493–525 (מהדורה שנייה, 2018) (להלן: פרידמן וכהן).</w:t>
      </w:r>
    </w:p>
  </w:footnote>
  <w:footnote w:id="38">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500.</w:t>
      </w:r>
    </w:p>
  </w:footnote>
  <w:footnote w:id="39">
    <w:p>
      <w:pPr>
        <w:bidi/>
        <w:spacing w:after="60"/>
      </w:pPr>
      <w:r>
        <w:rPr>
          <w:rStyle w:val="FootnoteReference"/>
        </w:rPr>
        <w:footnoteRef/>
      </w:r>
      <w:r>
        <w:rPr>
          <w:rFonts w:ascii="David" w:cs="David" w:eastAsia="David" w:hAnsi="David"/>
          <w:sz w:val="20"/>
          <w:szCs w:val="20"/>
          <w:rtl/>
        </w:rPr>
        <w:t xml:space="preserve">ע"א 6766/11 </w:t>
      </w:r>
      <w:r>
        <w:rPr>
          <w:rFonts w:ascii="David" w:cs="David" w:eastAsia="David" w:hAnsi="David"/>
          <w:i/>
          <w:iCs/>
          <w:sz w:val="20"/>
          <w:szCs w:val="20"/>
          <w:rtl/>
        </w:rPr>
        <w:t xml:space="preserve">חג׳אזי נ׳ חג׳אזי</w:t>
      </w:r>
      <w:r>
        <w:rPr>
          <w:rFonts w:ascii="David" w:cs="David" w:eastAsia="David" w:hAnsi="David"/>
          <w:sz w:val="20"/>
          <w:szCs w:val="20"/>
          <w:rtl/>
        </w:rPr>
        <w:t xml:space="preserve"> (נבו 23.6.2013);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540.</w:t>
      </w:r>
    </w:p>
  </w:footnote>
  <w:footnote w:id="40">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 סעיף 80 – "משרידיו האחרונים של המשפט העותומני" – מוסיף לחול על עסקאות מקרקעין שנערכו לפני יום תחילת חוק המקרקעין, וניסיונות לבטלו בחקיקה לא צלחו: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485–488.</w:t>
      </w:r>
    </w:p>
  </w:footnote>
  <w:footnote w:id="41">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42">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43">
    <w:p>
      <w:pPr>
        <w:bidi/>
        <w:spacing w:after="60"/>
      </w:pPr>
      <w:r>
        <w:rPr>
          <w:rStyle w:val="FootnoteReference"/>
        </w:rPr>
        <w:footnoteRef/>
      </w:r>
      <w:r>
        <w:rPr>
          <w:rFonts w:ascii="David" w:cs="David" w:eastAsia="David" w:hAnsi="David"/>
          <w:sz w:val="20"/>
          <w:szCs w:val="20"/>
          <w:rtl/>
        </w:rPr>
        <w:t xml:space="preserve">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534–535.</w:t>
      </w:r>
    </w:p>
  </w:footnote>
  <w:footnote w:id="44">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344 ואילך.</w:t>
      </w:r>
    </w:p>
  </w:footnote>
  <w:footnote w:id="45">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46">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7">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8">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9">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50">
    <w:p>
      <w:pPr>
        <w:bidi/>
        <w:spacing w:after="60"/>
      </w:pPr>
      <w:r>
        <w:rPr>
          <w:rStyle w:val="FootnoteReference"/>
        </w:rPr>
        <w:footnoteRef/>
      </w:r>
      <w:r>
        <w:rPr>
          <w:rFonts w:ascii="David" w:cs="David" w:eastAsia="David" w:hAnsi="David"/>
          <w:sz w:val="20"/>
          <w:szCs w:val="20"/>
          <w:rtl/>
        </w:rPr>
        <w:t xml:space="preserve">ע"א 32/77 </w:t>
      </w:r>
      <w:r>
        <w:rPr>
          <w:rFonts w:ascii="David" w:cs="David" w:eastAsia="David" w:hAnsi="David"/>
          <w:i/>
          <w:iCs/>
          <w:sz w:val="20"/>
          <w:szCs w:val="20"/>
          <w:rtl/>
        </w:rPr>
        <w:t xml:space="preserve">טבוליצקי נ׳ בית-כנסת ובית-מדרש החסידים</w:t>
      </w:r>
      <w:r>
        <w:rPr>
          <w:rFonts w:ascii="David" w:cs="David" w:eastAsia="David" w:hAnsi="David"/>
          <w:sz w:val="20"/>
          <w:szCs w:val="20"/>
          <w:rtl/>
        </w:rPr>
        <w:t xml:space="preserve">, פ"ד לא(3) 210 (1977); ולזיקוק היסודות ראו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405–408 (מהדורה שנייה, 2024) (להלן: שקד).</w:t>
      </w:r>
    </w:p>
  </w:footnote>
  <w:footnote w:id="51">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52">
    <w:p>
      <w:pPr>
        <w:bidi/>
        <w:spacing w:after="60"/>
      </w:pPr>
      <w:r>
        <w:rPr>
          <w:rStyle w:val="FootnoteReference"/>
        </w:rPr>
        <w:footnoteRef/>
      </w:r>
      <w:r>
        <w:rPr>
          <w:rFonts w:ascii="David" w:cs="David" w:eastAsia="David" w:hAnsi="David"/>
          <w:sz w:val="20"/>
          <w:szCs w:val="20"/>
          <w:rtl/>
        </w:rPr>
        <w:t xml:space="preserve">ע"א 515/76 </w:t>
      </w:r>
      <w:r>
        <w:rPr>
          <w:rFonts w:ascii="David" w:cs="David" w:eastAsia="David" w:hAnsi="David"/>
          <w:i/>
          <w:iCs/>
          <w:sz w:val="20"/>
          <w:szCs w:val="20"/>
          <w:rtl/>
        </w:rPr>
        <w:t xml:space="preserve">לוי נ׳ ויימן</w:t>
      </w:r>
      <w:r>
        <w:rPr>
          <w:rFonts w:ascii="David" w:cs="David" w:eastAsia="David" w:hAnsi="David"/>
          <w:sz w:val="20"/>
          <w:szCs w:val="20"/>
          <w:rtl/>
        </w:rPr>
        <w:t xml:space="preserve">, פ"ד לא(2) 127 (1977); שקד, </w:t>
      </w:r>
      <w:r>
        <w:rPr>
          <w:rFonts w:ascii="David" w:cs="David" w:eastAsia="David" w:hAnsi="David"/>
          <w:sz w:val="20"/>
          <w:szCs w:val="20"/>
          <w:rtl/>
        </w:rPr>
        <w:t xml:space="preserve">לעיל ה"ש 50</w:t>
      </w:r>
      <w:r>
        <w:rPr>
          <w:rFonts w:ascii="David" w:cs="David" w:eastAsia="David" w:hAnsi="David"/>
          <w:sz w:val="20"/>
          <w:szCs w:val="20"/>
          <w:rtl/>
        </w:rPr>
        <w:t xml:space="preserve">, בעמ׳ 415–418.</w:t>
      </w:r>
    </w:p>
  </w:footnote>
  <w:footnote w:id="53">
    <w:p>
      <w:pPr>
        <w:bidi/>
        <w:spacing w:after="60"/>
      </w:pPr>
      <w:r>
        <w:rPr>
          <w:rStyle w:val="FootnoteReference"/>
        </w:rPr>
        <w:footnoteRef/>
      </w:r>
      <w:r>
        <w:rPr>
          <w:rFonts w:ascii="David" w:cs="David" w:eastAsia="David" w:hAnsi="David"/>
          <w:sz w:val="20"/>
          <w:szCs w:val="20"/>
          <w:rtl/>
        </w:rPr>
        <w:t xml:space="preserve">ע"א 6757/13 </w:t>
      </w:r>
      <w:r>
        <w:rPr>
          <w:rFonts w:ascii="David" w:cs="David" w:eastAsia="David" w:hAnsi="David"/>
          <w:i/>
          <w:iCs/>
          <w:sz w:val="20"/>
          <w:szCs w:val="20"/>
          <w:rtl/>
        </w:rPr>
        <w:t xml:space="preserve">נחום נ׳ רשות הפיתוח</w:t>
      </w:r>
      <w:r>
        <w:rPr>
          <w:rFonts w:ascii="David" w:cs="David" w:eastAsia="David" w:hAnsi="David"/>
          <w:sz w:val="20"/>
          <w:szCs w:val="20"/>
          <w:rtl/>
        </w:rPr>
        <w:t xml:space="preserve"> (נבו 19.8.2015); שקד, </w:t>
      </w:r>
      <w:r>
        <w:rPr>
          <w:rFonts w:ascii="David" w:cs="David" w:eastAsia="David" w:hAnsi="David"/>
          <w:sz w:val="20"/>
          <w:szCs w:val="20"/>
          <w:rtl/>
        </w:rPr>
        <w:t xml:space="preserve">לעיל ה"ש 50</w:t>
      </w:r>
      <w:r>
        <w:rPr>
          <w:rFonts w:ascii="David" w:cs="David" w:eastAsia="David" w:hAnsi="David"/>
          <w:sz w:val="20"/>
          <w:szCs w:val="20"/>
          <w:rtl/>
        </w:rPr>
        <w:t xml:space="preserve">, בעמ׳ 419.</w:t>
      </w:r>
    </w:p>
  </w:footnote>
  <w:footnote w:id="54">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55">
    <w:p>
      <w:pPr>
        <w:bidi/>
        <w:spacing w:after="60"/>
      </w:pPr>
      <w:r>
        <w:rPr>
          <w:rStyle w:val="FootnoteReference"/>
        </w:rPr>
        <w:footnoteRef/>
      </w:r>
      <w:r>
        <w:rPr>
          <w:rFonts w:ascii="David" w:cs="David" w:eastAsia="David" w:hAnsi="David"/>
          <w:sz w:val="20"/>
          <w:szCs w:val="20"/>
          <w:rtl/>
        </w:rPr>
        <w:t xml:space="preserve">ע"א 7139/99 </w:t>
      </w:r>
      <w:r>
        <w:rPr>
          <w:rFonts w:ascii="David" w:cs="David" w:eastAsia="David" w:hAnsi="David"/>
          <w:i/>
          <w:iCs/>
          <w:sz w:val="20"/>
          <w:szCs w:val="20"/>
          <w:rtl/>
        </w:rPr>
        <w:t xml:space="preserve">אלוני נ׳ ארד</w:t>
      </w:r>
      <w:r>
        <w:rPr>
          <w:rFonts w:ascii="David" w:cs="David" w:eastAsia="David" w:hAnsi="David"/>
          <w:sz w:val="20"/>
          <w:szCs w:val="20"/>
          <w:rtl/>
        </w:rPr>
        <w:t xml:space="preserve">, פ"ד נח(4) 27 (2004); שקד, </w:t>
      </w:r>
      <w:r>
        <w:rPr>
          <w:rFonts w:ascii="David" w:cs="David" w:eastAsia="David" w:hAnsi="David"/>
          <w:sz w:val="20"/>
          <w:szCs w:val="20"/>
          <w:rtl/>
        </w:rPr>
        <w:t xml:space="preserve">לעיל ה"ש 50</w:t>
      </w:r>
      <w:r>
        <w:rPr>
          <w:rFonts w:ascii="David" w:cs="David" w:eastAsia="David" w:hAnsi="David"/>
          <w:sz w:val="20"/>
          <w:szCs w:val="20"/>
          <w:rtl/>
        </w:rPr>
        <w:t xml:space="preserve">, בעמ׳ 425. לדוקטרינת ה-proprietary estoppel האנגלית, שממנה נשאב המונח, ראו להלן פרק ו.1.</w:t>
      </w:r>
    </w:p>
  </w:footnote>
  <w:footnote w:id="56">
    <w:p>
      <w:pPr>
        <w:bidi/>
        <w:spacing w:after="60"/>
      </w:pPr>
      <w:r>
        <w:rPr>
          <w:rStyle w:val="FootnoteReference"/>
        </w:rPr>
        <w:footnoteRef/>
      </w:r>
      <w:r>
        <w:rPr>
          <w:rFonts w:ascii="David" w:cs="David" w:eastAsia="David" w:hAnsi="David"/>
          <w:sz w:val="20"/>
          <w:szCs w:val="20"/>
          <w:rtl/>
        </w:rPr>
        <w:t xml:space="preserve">רע"א 1156/02 </w:t>
      </w:r>
      <w:r>
        <w:rPr>
          <w:rFonts w:ascii="David" w:cs="David" w:eastAsia="David" w:hAnsi="David"/>
          <w:i/>
          <w:iCs/>
          <w:sz w:val="20"/>
          <w:szCs w:val="20"/>
          <w:rtl/>
        </w:rPr>
        <w:t xml:space="preserve">חיר נ׳ לידאי</w:t>
      </w:r>
      <w:r>
        <w:rPr>
          <w:rFonts w:ascii="David" w:cs="David" w:eastAsia="David" w:hAnsi="David"/>
          <w:sz w:val="20"/>
          <w:szCs w:val="20"/>
          <w:rtl/>
        </w:rPr>
        <w:t xml:space="preserve">, פ"ד נז(3) 949 (2003);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51</w:t>
      </w:r>
      <w:r>
        <w:rPr>
          <w:rFonts w:ascii="David" w:cs="David" w:eastAsia="David" w:hAnsi="David"/>
          <w:sz w:val="20"/>
          <w:szCs w:val="20"/>
          <w:rtl/>
        </w:rPr>
        <w:t xml:space="preserve">; שקד, </w:t>
      </w:r>
      <w:r>
        <w:rPr>
          <w:rFonts w:ascii="David" w:cs="David" w:eastAsia="David" w:hAnsi="David"/>
          <w:sz w:val="20"/>
          <w:szCs w:val="20"/>
          <w:rtl/>
        </w:rPr>
        <w:t xml:space="preserve">לעיל ה"ש 50</w:t>
      </w:r>
      <w:r>
        <w:rPr>
          <w:rFonts w:ascii="David" w:cs="David" w:eastAsia="David" w:hAnsi="David"/>
          <w:sz w:val="20"/>
          <w:szCs w:val="20"/>
          <w:rtl/>
        </w:rPr>
        <w:t xml:space="preserve">, בעמ׳ 430–433.</w:t>
      </w:r>
    </w:p>
  </w:footnote>
  <w:footnote w:id="57">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שקד, </w:t>
      </w:r>
      <w:r>
        <w:rPr>
          <w:rFonts w:ascii="David" w:cs="David" w:eastAsia="David" w:hAnsi="David"/>
          <w:sz w:val="20"/>
          <w:szCs w:val="20"/>
          <w:rtl/>
        </w:rPr>
        <w:t xml:space="preserve">לעיל ה"ש 50</w:t>
      </w:r>
      <w:r>
        <w:rPr>
          <w:rFonts w:ascii="David" w:cs="David" w:eastAsia="David" w:hAnsi="David"/>
          <w:sz w:val="20"/>
          <w:szCs w:val="20"/>
          <w:rtl/>
        </w:rPr>
        <w:t xml:space="preserve">, פרק שנים-עשר.</w:t>
      </w:r>
    </w:p>
  </w:footnote>
  <w:footnote w:id="58">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50</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49</w:t>
      </w:r>
      <w:r>
        <w:rPr>
          <w:rFonts w:ascii="David" w:cs="David" w:eastAsia="David" w:hAnsi="David"/>
          <w:sz w:val="20"/>
          <w:szCs w:val="20"/>
          <w:rtl/>
        </w:rPr>
        <w:t xml:space="preserve">, לעניין היחס בין רישיון לחזקה.</w:t>
      </w:r>
    </w:p>
  </w:footnote>
  <w:footnote w:id="5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61">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60</w:t>
      </w:r>
      <w:r>
        <w:rPr>
          <w:rFonts w:ascii="David" w:cs="David" w:eastAsia="David" w:hAnsi="David"/>
          <w:sz w:val="20"/>
          <w:szCs w:val="20"/>
          <w:rtl/>
        </w:rPr>
        <w:t xml:space="preserve">, בעמ׳ 3–4 לפסק הדין.</w:t>
      </w:r>
    </w:p>
  </w:footnote>
  <w:footnote w:id="62">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תמ"ש (משפחה נצ׳) 59099-02-24 </w:t>
      </w:r>
      <w:r>
        <w:rPr>
          <w:rFonts w:ascii="David" w:cs="David" w:eastAsia="David" w:hAnsi="David"/>
          <w:i/>
          <w:iCs/>
          <w:sz w:val="20"/>
          <w:szCs w:val="20"/>
          <w:rtl/>
        </w:rPr>
        <w:t xml:space="preserve">א.ז נ׳ מ.ז</w:t>
      </w:r>
      <w:r>
        <w:rPr>
          <w:rFonts w:ascii="David" w:cs="David" w:eastAsia="David" w:hAnsi="David"/>
          <w:sz w:val="20"/>
          <w:szCs w:val="20"/>
          <w:rtl/>
        </w:rPr>
        <w:t xml:space="preserve"> (נבו 10.3.2026); ת"א (מחוזי חי׳) 41898-04-18 </w:t>
      </w:r>
      <w:r>
        <w:rPr>
          <w:rFonts w:ascii="David" w:cs="David" w:eastAsia="David" w:hAnsi="David"/>
          <w:i/>
          <w:iCs/>
          <w:sz w:val="20"/>
          <w:szCs w:val="20"/>
          <w:rtl/>
        </w:rPr>
        <w:t xml:space="preserve">שחוק נ׳ עיזבון המנוח שחוק ז"ל</w:t>
      </w:r>
      <w:r>
        <w:rPr>
          <w:rFonts w:ascii="David" w:cs="David" w:eastAsia="David" w:hAnsi="David"/>
          <w:sz w:val="20"/>
          <w:szCs w:val="20"/>
          <w:rtl/>
        </w:rPr>
        <w:t xml:space="preserve"> (נבו 21.2.2021);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30</w:t>
      </w:r>
      <w:r>
        <w:rPr>
          <w:rFonts w:ascii="David" w:cs="David" w:eastAsia="David" w:hAnsi="David"/>
          <w:sz w:val="20"/>
          <w:szCs w:val="20"/>
          <w:rtl/>
        </w:rPr>
        <w:t xml:space="preserve">.</w:t>
      </w:r>
    </w:p>
  </w:footnote>
  <w:footnote w:id="63">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64">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65">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66">
    <w:p>
      <w:pPr>
        <w:bidi/>
        <w:spacing w:after="60"/>
      </w:pPr>
      <w:r>
        <w:rPr>
          <w:rStyle w:val="FootnoteReference"/>
        </w:rPr>
        <w:footnoteRef/>
      </w:r>
      <w:r>
        <w:rPr>
          <w:rFonts w:ascii="David" w:cs="David" w:eastAsia="David" w:hAnsi="David"/>
          <w:sz w:val="20"/>
          <w:szCs w:val="20"/>
          <w:rtl/>
        </w:rPr>
        <w:t xml:space="preserve">להנחת המסד העיוני של ההבחנה – כוחה של הזכות הקניינית כלפי כולי עלמא לעומת כוחה של הזכות האישית בין הצדדים בלבד – ראו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43–48.</w:t>
      </w:r>
    </w:p>
  </w:footnote>
  <w:footnote w:id="67">
    <w:p>
      <w:pPr>
        <w:bidi/>
        <w:spacing w:after="60"/>
      </w:pPr>
      <w:r>
        <w:rPr>
          <w:rStyle w:val="FootnoteReference"/>
        </w:rPr>
        <w:footnoteRef/>
      </w:r>
      <w:r>
        <w:rPr>
          <w:rFonts w:ascii="David" w:cs="David" w:eastAsia="David" w:hAnsi="David"/>
          <w:sz w:val="20"/>
          <w:szCs w:val="20"/>
          <w:rtl/>
        </w:rPr>
        <w:t xml:space="preserve">ע"א 514/76 </w:t>
      </w:r>
      <w:r>
        <w:rPr>
          <w:rFonts w:ascii="David" w:cs="David" w:eastAsia="David" w:hAnsi="David"/>
          <w:i/>
          <w:iCs/>
          <w:sz w:val="20"/>
          <w:szCs w:val="20"/>
          <w:rtl/>
        </w:rPr>
        <w:t xml:space="preserve">חשש נ׳ דמארי</w:t>
      </w:r>
      <w:r>
        <w:rPr>
          <w:rFonts w:ascii="David" w:cs="David" w:eastAsia="David" w:hAnsi="David"/>
          <w:sz w:val="20"/>
          <w:szCs w:val="20"/>
          <w:rtl/>
        </w:rPr>
        <w:t xml:space="preserve">, פ"ד לא(2) 505 (1977). הקביעה חשובה במיוחד ליישובים שבהם ההחזקה נסמכת על הסכמי פיתוח והרשאות של רשות מקרקעי ישראל: בגדרם, ההעברות הפנים-משפחתיות כולן פועלות במישור האובליגטורי – ומחוץ לדרישת הכתב. לניתוח קו הפסיקה שהוציא עסקאות בזכויות אובליגטוריות מגדרו של סעיף 8 ראו פרידמן וכהן, </w:t>
      </w:r>
      <w:r>
        <w:rPr>
          <w:rFonts w:ascii="David" w:cs="David" w:eastAsia="David" w:hAnsi="David"/>
          <w:sz w:val="20"/>
          <w:szCs w:val="20"/>
          <w:rtl/>
        </w:rPr>
        <w:t xml:space="preserve">לעיל ה"ש 37</w:t>
      </w:r>
      <w:r>
        <w:rPr>
          <w:rFonts w:ascii="David" w:cs="David" w:eastAsia="David" w:hAnsi="David"/>
          <w:sz w:val="20"/>
          <w:szCs w:val="20"/>
          <w:rtl/>
        </w:rPr>
        <w:t xml:space="preserve">, בעמ׳ 499–500.</w:t>
      </w:r>
    </w:p>
  </w:footnote>
  <w:footnote w:id="68">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69">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60</w:t>
      </w:r>
      <w:r>
        <w:rPr>
          <w:rFonts w:ascii="David" w:cs="David" w:eastAsia="David" w:hAnsi="David"/>
          <w:sz w:val="20"/>
          <w:szCs w:val="20"/>
          <w:rtl/>
        </w:rPr>
        <w:t xml:space="preserve">.</w:t>
      </w:r>
    </w:p>
  </w:footnote>
  <w:footnote w:id="70">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36</w:t>
      </w:r>
      <w:r>
        <w:rPr>
          <w:rFonts w:ascii="David" w:cs="David" w:eastAsia="David" w:hAnsi="David"/>
          <w:sz w:val="20"/>
          <w:szCs w:val="20"/>
          <w:rtl/>
        </w:rPr>
        <w:t xml:space="preserve">.</w:t>
      </w:r>
    </w:p>
  </w:footnote>
  <w:footnote w:id="71">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72">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62</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51</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41</w:t>
      </w:r>
      <w:r>
        <w:rPr>
          <w:rFonts w:ascii="David" w:cs="David" w:eastAsia="David" w:hAnsi="David"/>
          <w:sz w:val="20"/>
          <w:szCs w:val="20"/>
          <w:rtl/>
        </w:rPr>
        <w:t xml:space="preserve">.</w:t>
      </w:r>
    </w:p>
  </w:footnote>
  <w:footnote w:id="74">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75">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30</w:t>
      </w:r>
      <w:r>
        <w:rPr>
          <w:rFonts w:ascii="David" w:cs="David" w:eastAsia="David" w:hAnsi="David"/>
          <w:sz w:val="20"/>
          <w:szCs w:val="20"/>
          <w:rtl/>
        </w:rPr>
        <w:t xml:space="preserve">.</w:t>
      </w:r>
    </w:p>
  </w:footnote>
  <w:footnote w:id="76">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77">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78">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79">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282.</w:t>
      </w:r>
    </w:p>
  </w:footnote>
  <w:footnote w:id="80">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81">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82">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83">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151.</w:t>
      </w:r>
    </w:p>
  </w:footnote>
  <w:footnote w:id="84">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153–154.</w:t>
      </w:r>
    </w:p>
  </w:footnote>
  <w:footnote w:id="85">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86">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w:t>
      </w:r>
    </w:p>
  </w:footnote>
  <w:footnote w:id="87">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78</w:t>
      </w:r>
      <w:r>
        <w:rPr>
          <w:rFonts w:ascii="David" w:cs="David" w:eastAsia="David" w:hAnsi="David"/>
          <w:sz w:val="20"/>
          <w:szCs w:val="20"/>
          <w:rtl/>
        </w:rPr>
        <w:t xml:space="preserve">, בעמ׳ 282–284, והפסיקה הנסקרת שם.</w:t>
      </w:r>
    </w:p>
  </w:footnote>
  <w:footnote w:id="88">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79</w:t>
      </w:r>
      <w:r>
        <w:rPr>
          <w:rFonts w:ascii="David" w:cs="David" w:eastAsia="David" w:hAnsi="David"/>
          <w:sz w:val="20"/>
          <w:szCs w:val="20"/>
          <w:rtl/>
        </w:rPr>
        <w:t xml:space="preserve">.</w:t>
      </w:r>
    </w:p>
  </w:footnote>
  <w:footnote w:id="89">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90">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34</w:t>
      </w:r>
      <w:r>
        <w:rPr>
          <w:rFonts w:ascii="David" w:cs="David" w:eastAsia="David" w:hAnsi="David"/>
          <w:sz w:val="20"/>
          <w:szCs w:val="20"/>
          <w:rtl/>
        </w:rPr>
        <w:t xml:space="preserve">, שבו לא נזקפה ההתנהלות הבלתי פורמלית רבת-השנים לחובת הרוכשת.</w:t>
      </w:r>
    </w:p>
  </w:footnote>
  <w:footnote w:id="91">
    <w:p>
      <w:pPr>
        <w:bidi/>
        <w:spacing w:after="60"/>
      </w:pPr>
      <w:r>
        <w:rPr>
          <w:rStyle w:val="FootnoteReference"/>
        </w:rPr>
        <w:footnoteRef/>
      </w:r>
      <w:r>
        <w:rPr>
          <w:rFonts w:ascii="David" w:cs="David" w:eastAsia="David" w:hAnsi="David"/>
          <w:sz w:val="20"/>
          <w:szCs w:val="20"/>
          <w:rtl/>
        </w:rPr>
        <w:t xml:space="preserve">יוער כי תופעה מקבילה קיימת גם במשפט העברי, שיטת הדין הדתית הנוספת הפועלת בישראל: קרקע נקנית בו בכסף, בשטר, בחזקה או בקניין סודר – בלא כל דרישת רישום – ובבתי הדין הרבניים רווחת העמדה שעסקת מקרקעין תקפה אף בלא רישום, תוך מחלוקת אם מכוח הכלל "דינא דמלכותא דינא" יש לאמץ את דרישת הרישום של דין המדינה. ראו "חוזים על פי דיני התורה" כתר א 71–75 (תשנ"ו). מפאת קוצר היריעה לא יורחב הדיון בשיטה זו.</w:t>
      </w:r>
    </w:p>
  </w:footnote>
  <w:footnote w:id="92">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93">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94">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22</w:t>
      </w:r>
      <w:r>
        <w:rPr>
          <w:rFonts w:ascii="David" w:cs="David" w:eastAsia="David" w:hAnsi="David"/>
          <w:sz w:val="20"/>
          <w:szCs w:val="20"/>
          <w:rtl/>
        </w:rPr>
        <w:t xml:space="preserve">.</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96">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97">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98">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99">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100">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101">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42</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10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47</w:t>
      </w:r>
      <w:r>
        <w:rPr>
          <w:rFonts w:ascii="David" w:cs="David" w:eastAsia="David" w:hAnsi="David"/>
          <w:sz w:val="20"/>
          <w:szCs w:val="20"/>
          <w:rtl/>
        </w:rPr>
        <w:t xml:space="preserve">.</w:t>
      </w:r>
    </w:p>
  </w:footnote>
  <w:footnote w:id="103">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104">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105">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106">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1243.</w:t>
      </w:r>
    </w:p>
  </w:footnote>
  <w:footnote w:id="107">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108">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109">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110">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89</w:t>
      </w:r>
      <w:r>
        <w:rPr>
          <w:rFonts w:ascii="David" w:cs="David" w:eastAsia="David" w:hAnsi="David"/>
          <w:sz w:val="20"/>
          <w:szCs w:val="20"/>
          <w:rtl/>
        </w:rPr>
        <w:t xml:space="preserve">.</w:t>
      </w:r>
    </w:p>
  </w:footnote>
  <w:footnote w:id="111">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112">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114">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15">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16">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107</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17">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19">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20">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21">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23">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24">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42</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25">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26">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27">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28">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29">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31</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30">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31">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32">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33">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34">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34</w:t>
      </w:r>
      <w:r>
        <w:rPr>
          <w:rFonts w:ascii="David" w:cs="David" w:eastAsia="David" w:hAnsi="David"/>
          <w:sz w:val="20"/>
          <w:szCs w:val="20"/>
          <w:rtl/>
        </w:rPr>
        <w:t xml:space="preserve">.</w:t>
      </w:r>
    </w:p>
  </w:footnote>
  <w:footnote w:id="135">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46</w:t>
      </w:r>
      <w:r>
        <w:rPr>
          <w:rFonts w:ascii="David" w:cs="David" w:eastAsia="David" w:hAnsi="David"/>
          <w:sz w:val="20"/>
          <w:szCs w:val="20"/>
          <w:rtl/>
        </w:rPr>
        <w:t xml:space="preserve">.</w:t>
      </w:r>
    </w:p>
  </w:footnote>
  <w:footnote w:id="136">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100</w:t>
      </w:r>
      <w:r>
        <w:rPr>
          <w:rFonts w:ascii="David" w:cs="David" w:eastAsia="David" w:hAnsi="David"/>
          <w:sz w:val="20"/>
          <w:szCs w:val="20"/>
          <w:rtl/>
        </w:rPr>
        <w:t xml:space="preserve">.</w:t>
      </w:r>
    </w:p>
  </w:footnote>
  <w:footnote w:id="137">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38">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2026-08-28T09:24:07.700Z</dcterms:created>
  <dcterms:modified xsi:type="dcterms:W3CDTF">2026-08-28T09:24:07.700Z</dcterms:modified>
</cp:coreProperties>
</file>

<file path=docProps/custom.xml><?xml version="1.0" encoding="utf-8"?>
<Properties xmlns="http://schemas.openxmlformats.org/officeDocument/2006/custom-properties" xmlns:vt="http://schemas.openxmlformats.org/officeDocument/2006/docPropsVTypes"/>
</file>