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bidi/>
        <w:spacing w:after="120" w:line="360"/>
        <w:jc w:val="center"/>
      </w:pPr>
      <w:r>
        <w:rPr>
          <w:rFonts w:ascii="David" w:cs="David" w:eastAsia="David" w:hAnsi="David" w:hint="cs"/>
          <w:sz w:val="24"/>
          <w:szCs w:val="24"/>
          <w:rtl/>
        </w:rPr>
        <w:t xml:space="preserve">הפקולטה למדעי הרוח והחברה</w:t>
      </w:r>
    </w:p>
    <w:p>
      <w:pPr>
        <w:bidi/>
        <w:spacing w:after="600" w:line="360"/>
        <w:jc w:val="center"/>
      </w:pPr>
      <w:r>
        <w:rPr>
          <w:rFonts w:ascii="David" w:cs="David" w:eastAsia="David" w:hAnsi="David" w:hint="cs"/>
          <w:sz w:val="24"/>
          <w:szCs w:val="24"/>
          <w:rtl/>
        </w:rPr>
        <w:t xml:space="preserve">התוכנית לתואר שני בחינוך</w:t>
      </w:r>
    </w:p>
    <w:p>
      <w:pPr>
        <w:bidi/>
        <w:spacing w:after="120" w:line="360"/>
        <w:jc w:val="center"/>
      </w:pPr>
      <w:r>
        <w:rPr>
          <w:rFonts w:ascii="David" w:cs="David" w:eastAsia="David" w:hAnsi="David" w:hint="cs"/>
          <w:b/>
          <w:bCs/>
          <w:sz w:val="28"/>
          <w:szCs w:val="28"/>
          <w:rtl/>
        </w:rPr>
        <w:t xml:space="preserve">היבטים פסיכולוגיים בחינוך ובחברה</w:t>
      </w:r>
    </w:p>
    <w:p>
      <w:pPr>
        <w:bidi/>
        <w:spacing w:after="120" w:line="360"/>
        <w:jc w:val="center"/>
      </w:pPr>
      <w:r>
        <w:rPr>
          <w:rFonts w:ascii="David" w:cs="David" w:eastAsia="David" w:hAnsi="David" w:hint="cs"/>
          <w:sz w:val="24"/>
          <w:szCs w:val="24"/>
          <w:highlight w:val="yellow"/>
          <w:highlightCs w:val="yellow"/>
          <w:rtl/>
        </w:rPr>
        <w:t xml:space="preserve">[מספר הקורס]</w:t>
      </w:r>
    </w:p>
    <w:p>
      <w:pPr>
        <w:bidi/>
        <w:spacing w:after="800" w:line="360"/>
        <w:jc w:val="center"/>
      </w:pPr>
      <w:r>
        <w:rPr>
          <w:rFonts w:ascii="David" w:cs="David" w:eastAsia="David" w:hAnsi="David" w:hint="cs"/>
          <w:sz w:val="24"/>
          <w:szCs w:val="24"/>
          <w:rtl/>
        </w:rPr>
        <w:t xml:space="preserve">מרצה: </w:t>
      </w:r>
      <w:r>
        <w:rPr>
          <w:rFonts w:ascii="David" w:cs="David" w:eastAsia="David" w:hAnsi="David" w:hint="cs"/>
          <w:sz w:val="24"/>
          <w:szCs w:val="24"/>
          <w:highlight w:val="yellow"/>
          <w:highlightCs w:val="yellow"/>
          <w:rtl/>
        </w:rPr>
        <w:t xml:space="preserve">[שם המרצה]</w:t>
      </w:r>
    </w:p>
    <w:p>
      <w:pPr>
        <w:bidi/>
        <w:spacing w:after="120" w:line="360"/>
        <w:jc w:val="center"/>
      </w:pPr>
      <w:r>
        <w:rPr>
          <w:rFonts w:ascii="David" w:cs="David" w:eastAsia="David" w:hAnsi="David" w:hint="cs"/>
          <w:b/>
          <w:bCs/>
          <w:sz w:val="32"/>
          <w:szCs w:val="32"/>
          <w:rtl/>
        </w:rPr>
        <w:t xml:space="preserve">מטלת אמצע</w:t>
      </w:r>
    </w:p>
    <w:p>
      <w:pPr>
        <w:bidi/>
        <w:spacing w:after="1000" w:line="360"/>
        <w:jc w:val="center"/>
      </w:pPr>
      <w:r>
        <w:rPr>
          <w:rFonts w:ascii="David" w:cs="David" w:eastAsia="David" w:hAnsi="David" w:hint="cs"/>
          <w:sz w:val="28"/>
          <w:szCs w:val="28"/>
          <w:highlight w:val="yellow"/>
          <w:highlightCs w:val="yellow"/>
          <w:rtl/>
        </w:rPr>
        <w:t xml:space="preserve">[כותרת העבודה]</w:t>
      </w:r>
    </w:p>
    <w:p>
      <w:pPr>
        <w:bidi/>
        <w:spacing w:after="120" w:line="360"/>
        <w:jc w:val="center"/>
      </w:pPr>
      <w:r>
        <w:rPr>
          <w:rFonts w:ascii="David" w:cs="David" w:eastAsia="David" w:hAnsi="David" w:hint="cs"/>
          <w:sz w:val="24"/>
          <w:szCs w:val="24"/>
          <w:rtl/>
        </w:rPr>
        <w:t xml:space="preserve">מגישות:</w:t>
      </w:r>
    </w:p>
    <w:p>
      <w:pPr>
        <w:bidi/>
        <w:spacing w:after="120" w:line="360"/>
        <w:jc w:val="center"/>
      </w:pPr>
      <w:r>
        <w:rPr>
          <w:rFonts w:ascii="David" w:cs="David" w:eastAsia="David" w:hAnsi="David" w:hint="cs"/>
          <w:sz w:val="24"/>
          <w:szCs w:val="24"/>
          <w:highlight w:val="yellow"/>
          <w:highlightCs w:val="yellow"/>
          <w:rtl/>
        </w:rPr>
        <w:t xml:space="preserve">[שם מלא]</w:t>
      </w:r>
      <w:r>
        <w:rPr>
          <w:rFonts w:ascii="David" w:cs="David" w:eastAsia="David" w:hAnsi="David" w:hint="cs"/>
          <w:sz w:val="24"/>
          <w:szCs w:val="24"/>
          <w:rtl/>
        </w:rPr>
        <w:t xml:space="preserve">, ת"ז </w:t>
      </w:r>
      <w:r>
        <w:rPr>
          <w:rFonts w:ascii="David" w:cs="David" w:eastAsia="David" w:hAnsi="David" w:hint="cs"/>
          <w:sz w:val="24"/>
          <w:szCs w:val="24"/>
          <w:highlight w:val="yellow"/>
          <w:highlightCs w:val="yellow"/>
          <w:rtl/>
        </w:rPr>
        <w:t xml:space="preserve">[מספר]</w:t>
      </w:r>
    </w:p>
    <w:p>
      <w:pPr>
        <w:bidi/>
        <w:spacing w:after="600" w:line="360"/>
        <w:jc w:val="center"/>
      </w:pPr>
      <w:r>
        <w:rPr>
          <w:rFonts w:ascii="David" w:cs="David" w:eastAsia="David" w:hAnsi="David" w:hint="cs"/>
          <w:sz w:val="24"/>
          <w:szCs w:val="24"/>
          <w:highlight w:val="yellow"/>
          <w:highlightCs w:val="yellow"/>
          <w:rtl/>
        </w:rPr>
        <w:t xml:space="preserve">[שם מלא]</w:t>
      </w:r>
      <w:r>
        <w:rPr>
          <w:rFonts w:ascii="David" w:cs="David" w:eastAsia="David" w:hAnsi="David" w:hint="cs"/>
          <w:sz w:val="24"/>
          <w:szCs w:val="24"/>
          <w:rtl/>
        </w:rPr>
        <w:t xml:space="preserve">, ת"ז </w:t>
      </w:r>
      <w:r>
        <w:rPr>
          <w:rFonts w:ascii="David" w:cs="David" w:eastAsia="David" w:hAnsi="David" w:hint="cs"/>
          <w:sz w:val="24"/>
          <w:szCs w:val="24"/>
          <w:highlight w:val="yellow"/>
          <w:highlightCs w:val="yellow"/>
          <w:rtl/>
        </w:rPr>
        <w:t xml:space="preserve">[מספר]</w:t>
      </w:r>
    </w:p>
    <w:p>
      <w:pPr>
        <w:bidi/>
        <w:spacing w:after="120" w:line="360"/>
        <w:jc w:val="center"/>
      </w:pPr>
      <w:r>
        <w:rPr>
          <w:rFonts w:ascii="David" w:cs="David" w:eastAsia="David" w:hAnsi="David" w:hint="cs"/>
          <w:sz w:val="24"/>
          <w:szCs w:val="24"/>
          <w:highlight w:val="yellow"/>
          <w:highlightCs w:val="yellow"/>
          <w:rtl/>
        </w:rPr>
        <w:t xml:space="preserve">[תאריך עברי]</w:t>
      </w:r>
      <w:r>
        <w:rPr>
          <w:rFonts w:ascii="David" w:cs="David" w:eastAsia="David" w:hAnsi="David" w:hint="cs"/>
          <w:sz w:val="24"/>
          <w:szCs w:val="24"/>
          <w:rtl/>
        </w:rPr>
        <w:t xml:space="preserve"> | </w:t>
      </w:r>
      <w:r>
        <w:rPr>
          <w:rFonts w:ascii="David" w:cs="David" w:eastAsia="David" w:hAnsi="David" w:hint="cs"/>
          <w:sz w:val="24"/>
          <w:szCs w:val="24"/>
          <w:highlight w:val="yellow"/>
          <w:highlightCs w:val="yellow"/>
          <w:rtl/>
        </w:rPr>
        <w:t xml:space="preserve">[תאריך לועזי]</w:t>
      </w:r>
    </w:p>
    <w:p>
      <w:r>
        <w:br w:type="page"/>
      </w:r>
    </w:p>
    <w:p>
      <w:pPr>
        <w:pStyle w:val="Heading1"/>
        <w:bidi/>
        <w:spacing w:after="120" w:before="240" w:line="360"/>
        <w:jc w:val="right"/>
      </w:pPr>
      <w:r>
        <w:rPr>
          <w:rFonts w:ascii="David" w:cs="David" w:eastAsia="David" w:hAnsi="David" w:hint="cs"/>
          <w:b/>
          <w:bCs/>
          <w:sz w:val="28"/>
          <w:szCs w:val="28"/>
          <w:rtl/>
        </w:rPr>
        <w:t xml:space="preserve">א. תיאור המקרה</w:t>
      </w:r>
    </w:p>
    <w:p>
      <w:pPr>
        <w:bidi/>
        <w:spacing w:after="120" w:line="360"/>
        <w:ind w:firstLine="0"/>
        <w:jc w:val="both"/>
      </w:pPr>
      <w:r>
        <w:rPr>
          <w:rFonts w:ascii="David" w:cs="David" w:eastAsia="David" w:hAnsi="David" w:hint="cs"/>
          <w:sz w:val="24"/>
          <w:szCs w:val="24"/>
          <w:highlight w:val="yellow"/>
          <w:highlightCs w:val="yellow"/>
          <w:rtl/>
        </w:rPr>
        <w:t xml:space="preserve">[פסקה אחת עד שתיים: מה אירע, באיזה הקשר, מי הדמויות המעורבות (בלי פרטים מזהים) ומדוע החוויה משמעותית. באופציה 2 יש לצרף כאן קישור לכתבה או צילום מסך. לכתוב בגוף שלישי, למשל "המקרה עוסק באישה בשנות הארבעים לחייה" ולא "אמא שלי".]</w:t>
      </w:r>
    </w:p>
    <w:p>
      <w:pPr>
        <w:pStyle w:val="Heading1"/>
        <w:bidi/>
        <w:spacing w:after="120" w:before="240" w:line="360"/>
        <w:jc w:val="right"/>
      </w:pPr>
      <w:r>
        <w:rPr>
          <w:rFonts w:ascii="David" w:cs="David" w:eastAsia="David" w:hAnsi="David" w:hint="cs"/>
          <w:b/>
          <w:bCs/>
          <w:sz w:val="28"/>
          <w:szCs w:val="28"/>
          <w:rtl/>
        </w:rPr>
        <w:t xml:space="preserve">ב. ניתוח המקרה</w:t>
      </w:r>
    </w:p>
    <w:p>
      <w:pPr>
        <w:bidi/>
        <w:spacing w:after="120" w:line="360"/>
        <w:ind w:firstLine="0"/>
        <w:jc w:val="both"/>
      </w:pPr>
      <w:r>
        <w:rPr>
          <w:rFonts w:ascii="David" w:cs="David" w:eastAsia="David" w:hAnsi="David" w:hint="cs"/>
          <w:sz w:val="24"/>
          <w:szCs w:val="24"/>
          <w:rtl/>
        </w:rPr>
        <w:t xml:space="preserve">הניתוח נשען על שלוש מסגרות שנלמדו בקורס: מודל ההחלמה של הרמן, ההיבט הגופני של הטראומה כפי שתיאר אותו ואן דר קולק, ושלבי האבל של קובלר-רוס.</w:t>
      </w:r>
    </w:p>
    <w:p>
      <w:pPr>
        <w:pStyle w:val="Heading2"/>
        <w:bidi/>
        <w:spacing w:after="120" w:before="240" w:line="360"/>
        <w:jc w:val="right"/>
      </w:pPr>
      <w:r>
        <w:rPr>
          <w:rFonts w:ascii="David" w:cs="David" w:eastAsia="David" w:hAnsi="David" w:hint="cs"/>
          <w:b/>
          <w:bCs/>
          <w:sz w:val="24"/>
          <w:szCs w:val="24"/>
          <w:rtl/>
        </w:rPr>
        <w:t xml:space="preserve">1. הרמן: טראומה כתופעה חברתית ומודל ההחלמה</w:t>
      </w:r>
    </w:p>
    <w:p>
      <w:pPr>
        <w:bidi/>
        <w:spacing w:after="120" w:line="360"/>
        <w:ind w:firstLine="0"/>
        <w:jc w:val="both"/>
      </w:pPr>
      <w:r>
        <w:rPr>
          <w:rFonts w:ascii="David" w:cs="David" w:eastAsia="David" w:hAnsi="David" w:hint="cs"/>
          <w:sz w:val="24"/>
          <w:szCs w:val="24"/>
          <w:rtl/>
        </w:rPr>
        <w:t xml:space="preserve">הרמן (1992/2001) רואה בטראומה תופעה חברתית ולא רק חוויה פרטית. האירוע הטראומטי עלול לנפץ את תחושת הביטחון, האמון והאוטונומיה, ולהשאיר את האדם עם חוסר אונים ואובדן שליטה. תגובות כמו קהות רגשית, ערנות יתר ודיסוציאציה אינן סימן לחולשה. אלו תגובות נורמליות לנסיבות חריגות. כשהסביבה אינה מכירה בפגיעה, מפקפקת בנפגע או מאשימה אותו, נוצרת פגיעה נוספת שחוסמת את הדרך להחלמה.</w:t>
      </w:r>
    </w:p>
    <w:p>
      <w:pPr>
        <w:bidi/>
        <w:spacing w:after="120" w:line="360"/>
        <w:ind w:firstLine="0"/>
        <w:jc w:val="both"/>
      </w:pPr>
      <w:r>
        <w:rPr>
          <w:rFonts w:ascii="David" w:cs="David" w:eastAsia="David" w:hAnsi="David" w:hint="cs"/>
          <w:sz w:val="24"/>
          <w:szCs w:val="24"/>
          <w:rtl/>
        </w:rPr>
        <w:t xml:space="preserve">מודל ההחלמה, כפי שהוצג בקורס, מתקדם בארבעה שלבים: יצירת ביטחון ושליטה, זכירה ואבלות, ביסוס קשר מחודש עם אחרים, ולבסוף צדק, שעניינו תיקון הנזק ולא ענישת הפוגע. המדד הטוב ביותר להחלמה הוא היכולת לחזור וליהנות מהחיים ולהיות מעורב באופן מלא ביחסים עם אחרים (זמיר נצראל, 2026ג).</w:t>
      </w:r>
    </w:p>
    <w:p>
      <w:pPr>
        <w:bidi/>
        <w:spacing w:after="120" w:line="360"/>
        <w:ind w:firstLine="0"/>
        <w:jc w:val="both"/>
      </w:pPr>
      <w:r>
        <w:rPr>
          <w:rFonts w:ascii="David" w:cs="David" w:eastAsia="David" w:hAnsi="David" w:hint="cs"/>
          <w:sz w:val="24"/>
          <w:szCs w:val="24"/>
          <w:highlight w:val="yellow"/>
          <w:highlightCs w:val="yellow"/>
          <w:rtl/>
        </w:rPr>
        <w:t xml:space="preserve">[קישור למקרה: באיזה שלב נמצאת הדמות? האם הסביבה הכירה בפגיעה או התעלמה ממנה? דוגמה קונקרטית אחת מהמקרה.]</w:t>
      </w:r>
    </w:p>
    <w:p>
      <w:pPr>
        <w:pStyle w:val="Heading2"/>
        <w:bidi/>
        <w:spacing w:after="120" w:before="240" w:line="360"/>
        <w:jc w:val="right"/>
      </w:pPr>
      <w:r>
        <w:rPr>
          <w:rFonts w:ascii="David" w:cs="David" w:eastAsia="David" w:hAnsi="David" w:hint="cs"/>
          <w:b/>
          <w:bCs/>
          <w:sz w:val="24"/>
          <w:szCs w:val="24"/>
          <w:rtl/>
        </w:rPr>
        <w:t xml:space="preserve">2. ואן דר קולק: הגוף זוכר</w:t>
      </w:r>
    </w:p>
    <w:p>
      <w:pPr>
        <w:bidi/>
        <w:spacing w:after="120" w:line="360"/>
        <w:ind w:firstLine="0"/>
        <w:jc w:val="both"/>
      </w:pPr>
      <w:r>
        <w:rPr>
          <w:rFonts w:ascii="David" w:cs="David" w:eastAsia="David" w:hAnsi="David" w:hint="cs"/>
          <w:sz w:val="24"/>
          <w:szCs w:val="24"/>
          <w:rtl/>
        </w:rPr>
        <w:t xml:space="preserve">לפי ואן דר קולק (2014/2021), הטראומה אינה האירוע עצמו אלא האופן שבו האדם חווה אותו ומפרש אותו. לכן אותו אירוע יכול להשאיר אדם אחד פגוע ואדם אחר כמעט בלי פגע, בהתאם לאישיות, לניסיון קודם וליסודות הביטחון שלו. הטענה המרכזית בספרו היא שגם אחרי שהאירוע הסתיים, הגוף ממשיך לחוות אותו. הורמוני הדחק מועילים בטווח הקצר ומזיקים בטווח הארוך, והמוח הקדום ממשיך לאותת על סכנה. התוצאה יכולה להיות כאב כרוני, בעיות עיכול ופגיעה במערכת החיסון. מכאן גם הטיפול שהוא מציע: עבודה "מלמטה למעלה" שמחזירה מגע עם הגוף, כמו יוגה, מיינדפולנס ו-EMDR (זמיר נצראל, 2026ב).</w:t>
      </w:r>
    </w:p>
    <w:p>
      <w:pPr>
        <w:bidi/>
        <w:spacing w:after="120" w:line="360"/>
        <w:ind w:firstLine="0"/>
        <w:jc w:val="both"/>
      </w:pPr>
      <w:r>
        <w:rPr>
          <w:rFonts w:ascii="David" w:cs="David" w:eastAsia="David" w:hAnsi="David" w:hint="cs"/>
          <w:sz w:val="24"/>
          <w:szCs w:val="24"/>
          <w:highlight w:val="yellow"/>
          <w:highlightCs w:val="yellow"/>
          <w:rtl/>
        </w:rPr>
        <w:t xml:space="preserve">[קישור למקרה: אילו תגובות גופניות הופיעו (שינה, דריכות, כאבים, הימנעות ממקומות)? האם נעשה שימוש באחת מדרכי ההתמודדות האלה?]</w:t>
      </w:r>
    </w:p>
    <w:p>
      <w:pPr>
        <w:pStyle w:val="Heading2"/>
        <w:bidi/>
        <w:spacing w:after="120" w:before="240" w:line="360"/>
        <w:jc w:val="right"/>
      </w:pPr>
      <w:r>
        <w:rPr>
          <w:rFonts w:ascii="David" w:cs="David" w:eastAsia="David" w:hAnsi="David" w:hint="cs"/>
          <w:b/>
          <w:bCs/>
          <w:sz w:val="24"/>
          <w:szCs w:val="24"/>
          <w:rtl/>
        </w:rPr>
        <w:t xml:space="preserve">3. קובלר-רוס: חמשת שלבי האבל</w:t>
      </w:r>
    </w:p>
    <w:p>
      <w:pPr>
        <w:bidi/>
        <w:spacing w:after="120" w:line="360"/>
        <w:ind w:firstLine="0"/>
        <w:jc w:val="both"/>
      </w:pPr>
      <w:r>
        <w:rPr>
          <w:rFonts w:ascii="David" w:cs="David" w:eastAsia="David" w:hAnsi="David" w:hint="cs"/>
          <w:sz w:val="24"/>
          <w:szCs w:val="24"/>
          <w:rtl/>
        </w:rPr>
        <w:t xml:space="preserve">קובלר-רוס (2002) תיארה חמישה שלבים בהתמודדות עם אובדן: הכחשה ובידוד, כעס, מיקוח, דיכאון והשלמה. ההכחשה פועלת כבולם זעזועים שמאפשר לאסוף כוחות. הכעס מופנה לא פעם כלפי הסביבה, שמתקשה להכיל אותו. במיקוח האדם מנסה לדחות את הקץ ולהרוויח זמן, והדיכאון, עם רגשות האשם ותחושת ההחמצה, הוא שלב הכרחי בדרך להשלמה. הסדר, העוצמה ומשך כל שלב משתנים מאדם לאדם (זמיר נצראל, 2026א). אובדן אינו רק מוות. גם בית, שגרה, מערכת יחסים או תחושת ביטחון יכולים להיות מושא לאבל.</w:t>
      </w:r>
    </w:p>
    <w:p>
      <w:pPr>
        <w:bidi/>
        <w:spacing w:after="120" w:line="360"/>
        <w:ind w:firstLine="0"/>
        <w:jc w:val="both"/>
      </w:pPr>
      <w:r>
        <w:rPr>
          <w:rFonts w:ascii="David" w:cs="David" w:eastAsia="David" w:hAnsi="David" w:hint="cs"/>
          <w:sz w:val="24"/>
          <w:szCs w:val="24"/>
          <w:highlight w:val="yellow"/>
          <w:highlightCs w:val="yellow"/>
          <w:rtl/>
        </w:rPr>
        <w:t xml:space="preserve">[קישור למקרה: אילו שלבים ניכרים? ציטוט קצר או התנהגות שממחישים שלב אחד לפחות.]</w:t>
      </w:r>
    </w:p>
    <w:p>
      <w:pPr>
        <w:pStyle w:val="Heading2"/>
        <w:bidi/>
        <w:spacing w:after="120" w:before="240" w:line="360"/>
        <w:jc w:val="right"/>
      </w:pPr>
      <w:r>
        <w:rPr>
          <w:rFonts w:ascii="David" w:cs="David" w:eastAsia="David" w:hAnsi="David" w:hint="cs"/>
          <w:b/>
          <w:bCs/>
          <w:sz w:val="24"/>
          <w:szCs w:val="24"/>
          <w:rtl/>
        </w:rPr>
        <w:t xml:space="preserve">ההקשר התרבותי והחברתי</w:t>
      </w:r>
    </w:p>
    <w:p>
      <w:pPr>
        <w:bidi/>
        <w:spacing w:after="120" w:line="360"/>
        <w:ind w:firstLine="0"/>
        <w:jc w:val="both"/>
      </w:pPr>
      <w:r>
        <w:rPr>
          <w:rFonts w:ascii="David" w:cs="David" w:eastAsia="David" w:hAnsi="David" w:hint="cs"/>
          <w:sz w:val="24"/>
          <w:szCs w:val="24"/>
          <w:rtl/>
        </w:rPr>
        <w:t xml:space="preserve">חוויה אישית בישראל של התקופה הנוכחית מתרחשת בתוך טראומה קולקטיבית, כזו שפוגעת בקהילה ובחברה כולה ולא רק ביחיד. אחד מביטוייה הוא אובדן עולם ההנחות: ההנחה שהמעשים שלנו משפיעים על התוצאות ושאנחנו, כאנשים וכחברה, מוגנים (זמיר נצראל, 2026ב). אירועים כאלה נצרבים בזיכרון הקולקטיבי ומעצבים נרטיבים תרבותיים (Saul, 2014, כפי שמצוטט אצל זמיר נצראל, 2026ג), וכמעט כל טראומה קולקטיבית הופכת עם הזמן לבין-דורית (Hirschberger, 2018, כפי שמצוטט אצל זמיר נצראל, 2026ג). בקורס הודגם כיצד אירועי 7 באוקטובר עוררו מחדש את זיכרון השואה אצל יהודים בישראל, והמלחמה בעזה עוררה את זיכרון הנכבה אצל פלסטינים.</w:t>
      </w:r>
    </w:p>
    <w:p>
      <w:pPr>
        <w:bidi/>
        <w:spacing w:after="120" w:line="360"/>
        <w:ind w:firstLine="0"/>
        <w:jc w:val="both"/>
      </w:pPr>
      <w:r>
        <w:rPr>
          <w:rFonts w:ascii="David" w:cs="David" w:eastAsia="David" w:hAnsi="David" w:hint="cs"/>
          <w:sz w:val="24"/>
          <w:szCs w:val="24"/>
          <w:highlight w:val="yellow"/>
          <w:highlightCs w:val="yellow"/>
          <w:rtl/>
        </w:rPr>
        <w:t xml:space="preserve">[קישור למקרה: כיצד הרקע התרבותי, הדתי או הקהילתי של הדמות עיצב את החוויה? האם הקהילה סייעה או הקשתה?]</w:t>
      </w:r>
    </w:p>
    <w:p>
      <w:pPr>
        <w:pStyle w:val="Heading2"/>
        <w:bidi/>
        <w:spacing w:after="120" w:before="240" w:line="360"/>
        <w:jc w:val="right"/>
      </w:pPr>
      <w:r>
        <w:rPr>
          <w:rFonts w:ascii="David" w:cs="David" w:eastAsia="David" w:hAnsi="David" w:hint="cs"/>
          <w:b/>
          <w:bCs/>
          <w:sz w:val="24"/>
          <w:szCs w:val="24"/>
          <w:rtl/>
        </w:rPr>
        <w:t xml:space="preserve">מה התאוריות מסבירות היטב, ומה פחות</w:t>
      </w:r>
    </w:p>
    <w:p>
      <w:pPr>
        <w:bidi/>
        <w:spacing w:after="120" w:line="360"/>
        <w:ind w:firstLine="0"/>
        <w:jc w:val="both"/>
      </w:pPr>
      <w:r>
        <w:rPr>
          <w:rFonts w:ascii="David" w:cs="David" w:eastAsia="David" w:hAnsi="David" w:hint="cs"/>
          <w:sz w:val="24"/>
          <w:szCs w:val="24"/>
          <w:rtl/>
        </w:rPr>
        <w:t xml:space="preserve">מודל השלבים של קובלר-רוס נוח לתיאור, אבל נוטה להיקרא כרצף ליניארי, ובפועל אנשים חוזרים לשלבים שכבר עברו או חווים כמה מהם בו-זמנית. גם המודל של הרמן מניח שאפשר לבסס קודם כול ביטחון. כשהאיום עצמו נמשך, כמו במלחמה מתמשכת, קשה לדבר על שלב ראשון שהושלם. ההסבר של ואן דר קולק חזק במיוחד בתגובות הגופניות, ופחות מתייחס לממד החברתי שהרמן מדגישה.</w:t>
      </w:r>
    </w:p>
    <w:p>
      <w:pPr>
        <w:bidi/>
        <w:spacing w:after="120" w:line="360"/>
        <w:ind w:firstLine="0"/>
        <w:jc w:val="both"/>
      </w:pPr>
      <w:r>
        <w:rPr>
          <w:rFonts w:ascii="David" w:cs="David" w:eastAsia="David" w:hAnsi="David" w:hint="cs"/>
          <w:sz w:val="24"/>
          <w:szCs w:val="24"/>
          <w:highlight w:val="yellow"/>
          <w:highlightCs w:val="yellow"/>
          <w:rtl/>
        </w:rPr>
        <w:t xml:space="preserve">[להתאים למקרה: מה במקרה לא מוסבר על ידי אף אחת מהתאוריות?]</w:t>
      </w:r>
    </w:p>
    <w:p>
      <w:r>
        <w:br w:type="page"/>
      </w:r>
    </w:p>
    <w:p>
      <w:pPr>
        <w:bidi/>
        <w:spacing w:after="240"/>
        <w:jc w:val="center"/>
      </w:pPr>
      <w:r>
        <w:rPr>
          <w:rFonts w:ascii="David" w:cs="David" w:eastAsia="David" w:hAnsi="David" w:hint="cs"/>
          <w:b/>
          <w:bCs/>
          <w:sz w:val="28"/>
          <w:szCs w:val="28"/>
          <w:rtl/>
        </w:rPr>
        <w:t xml:space="preserve">רשימת מקורות</w:t>
      </w:r>
    </w:p>
    <w:p>
      <w:pPr>
        <w:bidi/>
        <w:spacing w:after="0" w:line="480"/>
        <w:ind w:start="709" w:hanging="709"/>
        <w:jc w:val="right"/>
      </w:pPr>
      <w:r>
        <w:rPr>
          <w:rFonts w:ascii="David" w:cs="David" w:eastAsia="David" w:hAnsi="David" w:hint="cs"/>
          <w:sz w:val="24"/>
          <w:szCs w:val="24"/>
          <w:rtl/>
        </w:rPr>
        <w:t xml:space="preserve">הרמן, ג' ל' (2001). </w:t>
      </w:r>
      <w:r>
        <w:rPr>
          <w:rFonts w:ascii="David" w:cs="David" w:eastAsia="David" w:hAnsi="David" w:hint="cs"/>
          <w:i/>
          <w:iCs/>
          <w:sz w:val="24"/>
          <w:szCs w:val="24"/>
          <w:rtl/>
        </w:rPr>
        <w:t xml:space="preserve">טראומה והחלמה</w:t>
      </w:r>
      <w:r>
        <w:rPr>
          <w:rFonts w:ascii="David" w:cs="David" w:eastAsia="David" w:hAnsi="David" w:hint="cs"/>
          <w:sz w:val="24"/>
          <w:szCs w:val="24"/>
          <w:rtl/>
        </w:rPr>
        <w:t xml:space="preserve">. עם עובד. (פורסם במקור בשנת 1992)</w:t>
      </w:r>
    </w:p>
    <w:p>
      <w:pPr>
        <w:bidi/>
        <w:spacing w:after="0" w:line="480"/>
        <w:ind w:start="709" w:hanging="709"/>
        <w:jc w:val="right"/>
      </w:pPr>
      <w:r>
        <w:rPr>
          <w:rFonts w:ascii="David" w:cs="David" w:eastAsia="David" w:hAnsi="David" w:hint="cs"/>
          <w:sz w:val="24"/>
          <w:szCs w:val="24"/>
          <w:rtl/>
        </w:rPr>
        <w:t xml:space="preserve">ואן דר קולק, ב' (2021). </w:t>
      </w:r>
      <w:r>
        <w:rPr>
          <w:rFonts w:ascii="David" w:cs="David" w:eastAsia="David" w:hAnsi="David" w:hint="cs"/>
          <w:i/>
          <w:iCs/>
          <w:sz w:val="24"/>
          <w:szCs w:val="24"/>
          <w:rtl/>
        </w:rPr>
        <w:t xml:space="preserve">נרשם בגוף: מוח, נפש וגוף בריפוי מטראומה</w:t>
      </w:r>
      <w:r>
        <w:rPr>
          <w:rFonts w:ascii="David" w:cs="David" w:eastAsia="David" w:hAnsi="David" w:hint="cs"/>
          <w:sz w:val="24"/>
          <w:szCs w:val="24"/>
          <w:rtl/>
        </w:rPr>
        <w:t xml:space="preserve"> (א' רילוב, מתרגמת). פרדס. (פורסם במקור בשנת 2014)</w:t>
      </w:r>
    </w:p>
    <w:p>
      <w:pPr>
        <w:bidi/>
        <w:spacing w:after="0" w:line="480"/>
        <w:ind w:start="709" w:hanging="709"/>
        <w:jc w:val="right"/>
      </w:pPr>
      <w:r>
        <w:rPr>
          <w:rFonts w:ascii="David" w:cs="David" w:eastAsia="David" w:hAnsi="David" w:hint="cs"/>
          <w:sz w:val="24"/>
          <w:szCs w:val="24"/>
          <w:rtl/>
        </w:rPr>
        <w:t xml:space="preserve">זמיר נצראל, ל' (2026א). </w:t>
      </w:r>
      <w:r>
        <w:rPr>
          <w:rFonts w:ascii="David" w:cs="David" w:eastAsia="David" w:hAnsi="David" w:hint="cs"/>
          <w:i/>
          <w:iCs/>
          <w:sz w:val="24"/>
          <w:szCs w:val="24"/>
          <w:rtl/>
        </w:rPr>
        <w:t xml:space="preserve">אובדן ואבל</w:t>
      </w:r>
      <w:r>
        <w:rPr>
          <w:rFonts w:ascii="David" w:cs="David" w:eastAsia="David" w:hAnsi="David" w:hint="cs"/>
          <w:sz w:val="24"/>
          <w:szCs w:val="24"/>
          <w:rtl/>
        </w:rPr>
        <w:t xml:space="preserve"> [מצגת הרצאה]. היבטים פסיכולוגיים בחינוך ובחברה, הקריה האקדמית אונו.</w:t>
      </w:r>
    </w:p>
    <w:p>
      <w:pPr>
        <w:bidi/>
        <w:spacing w:after="0" w:line="480"/>
        <w:ind w:start="709" w:hanging="709"/>
        <w:jc w:val="right"/>
      </w:pPr>
      <w:r>
        <w:rPr>
          <w:rFonts w:ascii="David" w:cs="David" w:eastAsia="David" w:hAnsi="David" w:hint="cs"/>
          <w:sz w:val="24"/>
          <w:szCs w:val="24"/>
          <w:rtl/>
        </w:rPr>
        <w:t xml:space="preserve">זמיר נצראל, ל' (2026ב). </w:t>
      </w:r>
      <w:r>
        <w:rPr>
          <w:rFonts w:ascii="David" w:cs="David" w:eastAsia="David" w:hAnsi="David" w:hint="cs"/>
          <w:i/>
          <w:iCs/>
          <w:sz w:val="24"/>
          <w:szCs w:val="24"/>
          <w:rtl/>
        </w:rPr>
        <w:t xml:space="preserve">טראומה</w:t>
      </w:r>
      <w:r>
        <w:rPr>
          <w:rFonts w:ascii="David" w:cs="David" w:eastAsia="David" w:hAnsi="David" w:hint="cs"/>
          <w:sz w:val="24"/>
          <w:szCs w:val="24"/>
          <w:rtl/>
        </w:rPr>
        <w:t xml:space="preserve"> [מצגת הרצאה, יחידה 3]. היבטים פסיכולוגיים בחינוך ובחברה, הקריה האקדמית אונו.</w:t>
      </w:r>
    </w:p>
    <w:p>
      <w:pPr>
        <w:bidi/>
        <w:spacing w:after="0" w:line="480"/>
        <w:ind w:start="709" w:hanging="709"/>
        <w:jc w:val="right"/>
      </w:pPr>
      <w:r>
        <w:rPr>
          <w:rFonts w:ascii="David" w:cs="David" w:eastAsia="David" w:hAnsi="David" w:hint="cs"/>
          <w:sz w:val="24"/>
          <w:szCs w:val="24"/>
          <w:rtl/>
        </w:rPr>
        <w:t xml:space="preserve">זמיר נצראל, ל' (2026ג). </w:t>
      </w:r>
      <w:r>
        <w:rPr>
          <w:rFonts w:ascii="David" w:cs="David" w:eastAsia="David" w:hAnsi="David" w:hint="cs"/>
          <w:i/>
          <w:iCs/>
          <w:sz w:val="24"/>
          <w:szCs w:val="24"/>
          <w:rtl/>
        </w:rPr>
        <w:t xml:space="preserve">טראומה: ההיבט החברתי-תרבותי של הטראומה</w:t>
      </w:r>
      <w:r>
        <w:rPr>
          <w:rFonts w:ascii="David" w:cs="David" w:eastAsia="David" w:hAnsi="David" w:hint="cs"/>
          <w:sz w:val="24"/>
          <w:szCs w:val="24"/>
          <w:rtl/>
        </w:rPr>
        <w:t xml:space="preserve"> [מצגת הרצאה, יחידה 4]. היבטים פסיכולוגיים בחינוך ובחברה, הקריה האקדמית אונו.</w:t>
      </w:r>
    </w:p>
    <w:p>
      <w:pPr>
        <w:bidi/>
        <w:spacing w:after="0" w:line="480"/>
        <w:ind w:start="709" w:hanging="709"/>
        <w:jc w:val="right"/>
      </w:pPr>
      <w:r>
        <w:rPr>
          <w:rFonts w:ascii="David" w:cs="David" w:eastAsia="David" w:hAnsi="David" w:hint="cs"/>
          <w:sz w:val="24"/>
          <w:szCs w:val="24"/>
          <w:rtl/>
        </w:rPr>
        <w:t xml:space="preserve">קובלר-רוס, א' (2002). </w:t>
      </w:r>
      <w:r>
        <w:rPr>
          <w:rFonts w:ascii="David" w:cs="David" w:eastAsia="David" w:hAnsi="David" w:hint="cs"/>
          <w:i/>
          <w:iCs/>
          <w:sz w:val="24"/>
          <w:szCs w:val="24"/>
          <w:rtl/>
        </w:rPr>
        <w:t xml:space="preserve">המוות חשוב לחיים</w:t>
      </w:r>
      <w:r>
        <w:rPr>
          <w:rFonts w:ascii="David" w:cs="David" w:eastAsia="David" w:hAnsi="David" w:hint="cs"/>
          <w:sz w:val="24"/>
          <w:szCs w:val="24"/>
          <w:rtl/>
        </w:rPr>
        <w:t xml:space="preserve">. כתר.</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28"/>
      <w:szCs w:val="28"/>
    </w:rPr>
  </w:style>
  <w:style w:type="paragraph" w:styleId="Heading2">
    <w:name w:val="Heading 2"/>
    <w:basedOn w:val="Normal"/>
    <w:next w:val="Normal"/>
    <w:qFormat/>
    <w:pPr>
      <w:outlineLvl w:val="1"/>
    </w:pPr>
    <w:rPr>
      <w:rFonts w:ascii="David" w:cs="David" w:eastAsia="David" w:hAnsi="David"/>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2026-09-26T22:39:52.683Z</dcterms:created>
  <dcterms:modified xsi:type="dcterms:W3CDTF">2026-09-26T22:39:52.683Z</dcterms:modified>
</cp:coreProperties>
</file>

<file path=docProps/custom.xml><?xml version="1.0" encoding="utf-8"?>
<Properties xmlns="http://schemas.openxmlformats.org/officeDocument/2006/custom-properties" xmlns:vt="http://schemas.openxmlformats.org/officeDocument/2006/docPropsVTypes"/>
</file>