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line="360" w:lineRule="auto" w:after="40" w:before="0"/>
        <w:jc w:val="center"/>
      </w:pPr>
      <w:r>
        <w:rPr>
          <w:rFonts w:ascii="David" w:hAnsi="David" w:cs="David"/>
          <w:b/>
          <w:sz w:val="24"/>
          <w:szCs w:val="24"/>
          <w:rtl w:val="1"/>
          <w:bCs/>
        </w:rPr>
        <w:t>המסלול האקדמי, המכללה למנהל</w:t>
      </w:r>
    </w:p>
    <w:p>
      <w:pPr>
        <w:bidi/>
        <w:spacing w:line="360" w:lineRule="auto" w:after="40" w:before="0"/>
        <w:jc w:val="center"/>
      </w:pPr>
      <w:r>
        <w:rPr>
          <w:rFonts w:ascii="David" w:hAnsi="David" w:cs="David"/>
          <w:b w:val="0"/>
          <w:sz w:val="24"/>
          <w:szCs w:val="24"/>
          <w:rtl w:val="1"/>
        </w:rPr>
        <w:t>בית הספר לחינוך</w:t>
      </w:r>
    </w:p>
    <w:p>
      <w:pPr>
        <w:bidi/>
        <w:spacing w:line="360" w:lineRule="auto" w:after="40" w:before="0"/>
        <w:jc w:val="center"/>
      </w:pPr>
      <w:r>
        <w:rPr>
          <w:rFonts w:ascii="David" w:hAnsi="David" w:cs="David"/>
          <w:b w:val="0"/>
          <w:sz w:val="24"/>
          <w:szCs w:val="24"/>
          <w:rtl w:val="1"/>
        </w:rPr>
        <w:t>הקורס: כתיבה ואוריינות אקדמית ב'</w:t>
      </w:r>
    </w:p>
    <w:p>
      <w:pPr>
        <w:bidi/>
        <w:spacing w:line="360" w:lineRule="auto" w:after="40" w:before="0"/>
        <w:jc w:val="center"/>
      </w:pPr>
      <w:r>
        <w:rPr>
          <w:rFonts w:ascii="David" w:hAnsi="David" w:cs="David"/>
          <w:b w:val="0"/>
          <w:sz w:val="24"/>
          <w:szCs w:val="24"/>
          <w:rtl w:val="1"/>
        </w:rPr>
        <w:t>מנחה: ד"ר טל יעקבי</w:t>
      </w:r>
    </w:p>
    <w:p>
      <w:pPr>
        <w:bidi/>
        <w:spacing w:line="360" w:lineRule="auto" w:after="0" w:before="0"/>
        <w:jc w:val="both"/>
      </w:pPr>
      <w:r>
        <w:rPr>
          <w:rFonts w:ascii="David" w:hAnsi="David" w:cs="David"/>
          <w:b w:val="0"/>
          <w:sz w:val="24"/>
          <w:szCs w:val="24"/>
          <w:rtl w:val="1"/>
        </w:rPr>
      </w:r>
    </w:p>
    <w:p>
      <w:pPr>
        <w:bidi/>
        <w:spacing w:line="360" w:lineRule="auto" w:after="0" w:before="0"/>
        <w:jc w:val="both"/>
      </w:pPr>
      <w:r>
        <w:rPr>
          <w:rFonts w:ascii="David" w:hAnsi="David" w:cs="David"/>
          <w:b w:val="0"/>
          <w:sz w:val="24"/>
          <w:szCs w:val="24"/>
          <w:rtl w:val="1"/>
        </w:rPr>
      </w:r>
    </w:p>
    <w:p>
      <w:pPr>
        <w:bidi/>
        <w:spacing w:line="360" w:lineRule="auto" w:after="0" w:before="0"/>
        <w:jc w:val="both"/>
      </w:pPr>
      <w:r>
        <w:rPr>
          <w:rFonts w:ascii="David" w:hAnsi="David" w:cs="David"/>
          <w:b w:val="0"/>
          <w:sz w:val="24"/>
          <w:szCs w:val="24"/>
          <w:rtl w:val="1"/>
        </w:rPr>
      </w:r>
    </w:p>
    <w:p>
      <w:pPr>
        <w:bidi/>
        <w:spacing w:line="360" w:lineRule="auto" w:after="0" w:before="0"/>
        <w:jc w:val="both"/>
      </w:pPr>
      <w:r>
        <w:rPr>
          <w:rFonts w:ascii="David" w:hAnsi="David" w:cs="David"/>
          <w:b w:val="0"/>
          <w:sz w:val="24"/>
          <w:szCs w:val="24"/>
          <w:rtl w:val="1"/>
        </w:rPr>
      </w:r>
    </w:p>
    <w:p>
      <w:pPr>
        <w:bidi/>
        <w:spacing w:line="360" w:lineRule="auto" w:after="0" w:before="0"/>
        <w:jc w:val="both"/>
      </w:pPr>
      <w:r>
        <w:rPr>
          <w:rFonts w:ascii="David" w:hAnsi="David" w:cs="David"/>
          <w:b w:val="0"/>
          <w:sz w:val="24"/>
          <w:szCs w:val="24"/>
          <w:rtl w:val="1"/>
        </w:rPr>
      </w:r>
    </w:p>
    <w:p>
      <w:pPr>
        <w:bidi/>
        <w:spacing w:line="360" w:lineRule="auto" w:after="0" w:before="0"/>
        <w:jc w:val="both"/>
      </w:pPr>
      <w:r>
        <w:rPr>
          <w:rFonts w:ascii="David" w:hAnsi="David" w:cs="David"/>
          <w:b w:val="0"/>
          <w:sz w:val="24"/>
          <w:szCs w:val="24"/>
          <w:rtl w:val="1"/>
        </w:rPr>
      </w:r>
    </w:p>
    <w:p>
      <w:pPr>
        <w:bidi/>
        <w:spacing w:line="360" w:lineRule="auto" w:after="120" w:before="0"/>
        <w:jc w:val="center"/>
      </w:pPr>
      <w:r>
        <w:rPr>
          <w:rFonts w:ascii="David" w:hAnsi="David" w:cs="David"/>
          <w:b/>
          <w:sz w:val="36"/>
          <w:szCs w:val="36"/>
          <w:rtl w:val="1"/>
          <w:bCs/>
        </w:rPr>
        <w:t>שיימינג והטרדה ברשתות החברתיות בקרב ילדים ומתבגרים</w:t>
      </w:r>
    </w:p>
    <w:p>
      <w:pPr>
        <w:bidi/>
        <w:spacing w:line="360" w:lineRule="auto" w:after="120" w:before="0"/>
        <w:jc w:val="center"/>
      </w:pPr>
      <w:r>
        <w:rPr>
          <w:rFonts w:ascii="David" w:hAnsi="David" w:cs="David"/>
          <w:b w:val="0"/>
          <w:sz w:val="26"/>
          <w:szCs w:val="26"/>
          <w:rtl w:val="1"/>
        </w:rPr>
        <w:t>מהו היקף השיימינג וההטרדה ברשתות החברתיות בקרב ילדים ומתבגרים, וכיצד הם קשורים לבדידות ולמסוגלות החברתית?</w:t>
      </w:r>
    </w:p>
    <w:p>
      <w:pPr>
        <w:bidi/>
        <w:spacing w:line="360" w:lineRule="auto" w:after="120" w:before="0"/>
        <w:jc w:val="center"/>
      </w:pPr>
      <w:r>
        <w:rPr>
          <w:rFonts w:ascii="David" w:hAnsi="David" w:cs="David"/>
          <w:b w:val="0"/>
          <w:sz w:val="24"/>
          <w:szCs w:val="24"/>
          <w:rtl w:val="1"/>
        </w:rPr>
        <w:t>מאמר תיאורטי קצר</w:t>
      </w:r>
    </w:p>
    <w:p>
      <w:pPr>
        <w:bidi/>
        <w:spacing w:line="360" w:lineRule="auto" w:after="0" w:before="0"/>
        <w:jc w:val="both"/>
      </w:pPr>
      <w:r>
        <w:rPr>
          <w:rFonts w:ascii="David" w:hAnsi="David" w:cs="David"/>
          <w:b w:val="0"/>
          <w:sz w:val="24"/>
          <w:szCs w:val="24"/>
          <w:rtl w:val="1"/>
        </w:rPr>
      </w:r>
    </w:p>
    <w:p>
      <w:pPr>
        <w:bidi/>
        <w:spacing w:line="360" w:lineRule="auto" w:after="0" w:before="0"/>
        <w:jc w:val="both"/>
      </w:pPr>
      <w:r>
        <w:rPr>
          <w:rFonts w:ascii="David" w:hAnsi="David" w:cs="David"/>
          <w:b w:val="0"/>
          <w:sz w:val="24"/>
          <w:szCs w:val="24"/>
          <w:rtl w:val="1"/>
        </w:rPr>
      </w:r>
    </w:p>
    <w:p>
      <w:pPr>
        <w:bidi/>
        <w:spacing w:line="360" w:lineRule="auto" w:after="0" w:before="0"/>
        <w:jc w:val="both"/>
      </w:pPr>
      <w:r>
        <w:rPr>
          <w:rFonts w:ascii="David" w:hAnsi="David" w:cs="David"/>
          <w:b w:val="0"/>
          <w:sz w:val="24"/>
          <w:szCs w:val="24"/>
          <w:rtl w:val="1"/>
        </w:rPr>
      </w:r>
    </w:p>
    <w:p>
      <w:pPr>
        <w:bidi/>
        <w:spacing w:line="360" w:lineRule="auto" w:after="0" w:before="0"/>
        <w:jc w:val="both"/>
      </w:pPr>
      <w:r>
        <w:rPr>
          <w:rFonts w:ascii="David" w:hAnsi="David" w:cs="David"/>
          <w:b w:val="0"/>
          <w:sz w:val="24"/>
          <w:szCs w:val="24"/>
          <w:rtl w:val="1"/>
        </w:rPr>
      </w:r>
    </w:p>
    <w:p>
      <w:pPr>
        <w:bidi/>
        <w:spacing w:line="360" w:lineRule="auto" w:after="0" w:before="0"/>
        <w:jc w:val="both"/>
      </w:pPr>
      <w:r>
        <w:rPr>
          <w:rFonts w:ascii="David" w:hAnsi="David" w:cs="David"/>
          <w:b w:val="0"/>
          <w:sz w:val="24"/>
          <w:szCs w:val="24"/>
          <w:rtl w:val="1"/>
        </w:rPr>
      </w:r>
    </w:p>
    <w:p>
      <w:pPr>
        <w:bidi/>
        <w:spacing w:line="360" w:lineRule="auto" w:after="0" w:before="0"/>
        <w:jc w:val="both"/>
      </w:pPr>
      <w:r>
        <w:rPr>
          <w:rFonts w:ascii="David" w:hAnsi="David" w:cs="David"/>
          <w:b w:val="0"/>
          <w:sz w:val="24"/>
          <w:szCs w:val="24"/>
          <w:rtl w:val="1"/>
        </w:rPr>
      </w:r>
    </w:p>
    <w:p>
      <w:pPr>
        <w:bidi/>
        <w:spacing w:line="360" w:lineRule="auto" w:after="0" w:before="0"/>
        <w:jc w:val="both"/>
      </w:pPr>
      <w:r>
        <w:rPr>
          <w:rFonts w:ascii="David" w:hAnsi="David" w:cs="David"/>
          <w:b w:val="0"/>
          <w:sz w:val="24"/>
          <w:szCs w:val="24"/>
          <w:rtl w:val="1"/>
        </w:rPr>
      </w:r>
    </w:p>
    <w:p>
      <w:pPr>
        <w:bidi/>
        <w:spacing w:line="360" w:lineRule="auto" w:after="0" w:before="0"/>
        <w:jc w:val="both"/>
      </w:pPr>
      <w:r>
        <w:rPr>
          <w:rFonts w:ascii="David" w:hAnsi="David" w:cs="David"/>
          <w:b w:val="0"/>
          <w:sz w:val="24"/>
          <w:szCs w:val="24"/>
          <w:rtl w:val="1"/>
        </w:rPr>
      </w:r>
    </w:p>
    <w:p>
      <w:pPr>
        <w:bidi/>
        <w:spacing w:line="360" w:lineRule="auto" w:after="80" w:before="0"/>
        <w:jc w:val="center"/>
      </w:pPr>
      <w:r>
        <w:rPr>
          <w:rFonts w:ascii="David" w:hAnsi="David" w:cs="David"/>
          <w:b w:val="0"/>
          <w:sz w:val="24"/>
          <w:szCs w:val="24"/>
          <w:rtl w:val="1"/>
        </w:rPr>
        <w:t>מגיש/ה: ______________________     ת"ז: ______________</w:t>
      </w:r>
    </w:p>
    <w:p>
      <w:pPr>
        <w:bidi/>
        <w:spacing w:line="360" w:lineRule="auto" w:after="80" w:before="0"/>
        <w:jc w:val="center"/>
      </w:pPr>
      <w:r>
        <w:rPr>
          <w:rFonts w:ascii="David" w:hAnsi="David" w:cs="David"/>
          <w:b w:val="0"/>
          <w:sz w:val="24"/>
          <w:szCs w:val="24"/>
          <w:rtl w:val="1"/>
        </w:rPr>
        <w:t>תאריך הגשה: 1 באוגוסט 2026</w:t>
      </w:r>
    </w:p>
    <w:p>
      <w:r>
        <w:br w:type="page"/>
      </w:r>
    </w:p>
    <w:p>
      <w:pPr>
        <w:bidi/>
        <w:spacing w:line="360" w:lineRule="auto" w:after="200" w:before="160"/>
        <w:jc w:val="right"/>
      </w:pPr>
      <w:r>
        <w:rPr>
          <w:rFonts w:ascii="David" w:hAnsi="David" w:cs="David"/>
          <w:b/>
          <w:sz w:val="28"/>
          <w:szCs w:val="28"/>
          <w:rtl w:val="1"/>
          <w:bCs/>
        </w:rPr>
        <w:t>תוכן עניינים</w:t>
      </w:r>
    </w:p>
    <w:p>
      <w:pPr>
        <w:tabs>
          <w:tab w:pos="8787" w:val="left" w:leader="dot"/>
        </w:tabs>
        <w:bidi/>
        <w:spacing w:line="360" w:lineRule="auto" w:after="120"/>
      </w:pPr>
      <w:r>
        <w:rPr>
          <w:rFonts w:ascii="David" w:hAnsi="David" w:cs="David"/>
          <w:b w:val="0"/>
          <w:sz w:val="24"/>
          <w:szCs w:val="24"/>
          <w:rtl w:val="1"/>
        </w:rPr>
        <w:t>מבוא</w:t>
        <w:tab/>
        <w:t>3</w:t>
      </w:r>
    </w:p>
    <w:p>
      <w:pPr>
        <w:tabs>
          <w:tab w:pos="8787" w:val="left" w:leader="dot"/>
        </w:tabs>
        <w:bidi/>
        <w:spacing w:line="360" w:lineRule="auto" w:after="120"/>
      </w:pPr>
      <w:r>
        <w:rPr>
          <w:rFonts w:ascii="David" w:hAnsi="David" w:cs="David"/>
          <w:b w:val="0"/>
          <w:sz w:val="24"/>
          <w:szCs w:val="24"/>
          <w:rtl w:val="1"/>
        </w:rPr>
        <w:t>סקירת ספרות</w:t>
        <w:tab/>
        <w:t>3</w:t>
      </w:r>
    </w:p>
    <w:p>
      <w:pPr>
        <w:tabs>
          <w:tab w:pos="8787" w:val="left" w:leader="dot"/>
        </w:tabs>
        <w:bidi/>
        <w:spacing w:line="360" w:lineRule="auto" w:after="120"/>
      </w:pPr>
      <w:r>
        <w:rPr>
          <w:rFonts w:ascii="David" w:hAnsi="David" w:cs="David"/>
          <w:b w:val="0"/>
          <w:sz w:val="24"/>
          <w:szCs w:val="24"/>
          <w:rtl w:val="1"/>
        </w:rPr>
        <w:t>דיון, סיכום ומסקנות</w:t>
        <w:tab/>
        <w:t>4</w:t>
      </w:r>
    </w:p>
    <w:p>
      <w:pPr>
        <w:tabs>
          <w:tab w:pos="8787" w:val="left" w:leader="dot"/>
        </w:tabs>
        <w:bidi/>
        <w:spacing w:line="360" w:lineRule="auto" w:after="120"/>
      </w:pPr>
      <w:r>
        <w:rPr>
          <w:rFonts w:ascii="David" w:hAnsi="David" w:cs="David"/>
          <w:b w:val="0"/>
          <w:sz w:val="24"/>
          <w:szCs w:val="24"/>
          <w:rtl w:val="1"/>
        </w:rPr>
        <w:t>רשימת מקורות</w:t>
        <w:tab/>
        <w:t>5</w:t>
      </w:r>
    </w:p>
    <w:p>
      <w:pPr>
        <w:tabs>
          <w:tab w:pos="8787" w:val="left" w:leader="dot"/>
        </w:tabs>
        <w:bidi/>
        <w:spacing w:line="360" w:lineRule="auto" w:after="120"/>
      </w:pPr>
      <w:r>
        <w:rPr>
          <w:rFonts w:ascii="David" w:hAnsi="David" w:cs="David"/>
          <w:b w:val="0"/>
          <w:sz w:val="24"/>
          <w:szCs w:val="24"/>
          <w:rtl w:val="1"/>
        </w:rPr>
        <w:t>נספח: סיכום מאמר</w:t>
        <w:tab/>
        <w:t>6</w:t>
      </w:r>
    </w:p>
    <w:p>
      <w:r>
        <w:br w:type="page"/>
      </w:r>
    </w:p>
    <w:p>
      <w:pPr>
        <w:bidi/>
        <w:spacing w:line="360" w:lineRule="auto" w:after="120" w:before="160"/>
        <w:jc w:val="right"/>
      </w:pPr>
      <w:r>
        <w:rPr>
          <w:rFonts w:ascii="David" w:hAnsi="David" w:cs="David"/>
          <w:b/>
          <w:sz w:val="26"/>
          <w:szCs w:val="26"/>
          <w:rtl w:val="1"/>
          <w:bCs/>
        </w:rPr>
        <w:t>מבוא</w:t>
      </w:r>
    </w:p>
    <w:p>
      <w:pPr>
        <w:bidi/>
        <w:spacing w:line="360" w:lineRule="auto" w:after="200" w:before="0"/>
        <w:jc w:val="both"/>
      </w:pPr>
      <w:r>
        <w:rPr>
          <w:rFonts w:ascii="David" w:hAnsi="David" w:cs="David"/>
          <w:b w:val="0"/>
          <w:sz w:val="24"/>
          <w:szCs w:val="24"/>
          <w:rtl w:val="1"/>
        </w:rPr>
        <w:t>הרשתות החברתיות הפכו לזירה מרכזית שבה ילדים ומתבגרים מנהלים חלק ניכר מחייהם החברתיים, ואצל רבים מהם קבוצת הווטסאפ הכיתתית היא לב העניין. לצד ההזדמנויות שהיא פותחת, היא גם חושפת אותם לשיימינג ולהטרדות שאינם נעצרים בשערי בית הספר אלא מלווים אותם הביתה ואל תוך החדר. עבודה זו בוחנת את השאלה מהו היקף השיימינג וההטרדה ברשתות החברתיות בקרב ילדים ומתבגרים, וכיצד הם קשורים לתחושת הבדידות ולמסוגלות החברתית. הסקירה מתבססת על שלושה מחקרים אמפיריים, ונעה מן התמונה הכללית של התופעה אל אוכלוסיות בסיכון ואל ההשלכות החברתיות-רגשיות שלה.</w:t>
      </w:r>
    </w:p>
    <w:p>
      <w:pPr>
        <w:bidi/>
        <w:spacing w:line="360" w:lineRule="auto" w:after="120" w:before="160"/>
        <w:jc w:val="right"/>
      </w:pPr>
      <w:r>
        <w:rPr>
          <w:rFonts w:ascii="David" w:hAnsi="David" w:cs="David"/>
          <w:b/>
          <w:sz w:val="26"/>
          <w:szCs w:val="26"/>
          <w:rtl w:val="1"/>
          <w:bCs/>
        </w:rPr>
        <w:t>סקירת ספרות</w:t>
      </w:r>
    </w:p>
    <w:p>
      <w:pPr>
        <w:bidi/>
        <w:spacing w:line="360" w:lineRule="auto" w:after="200" w:before="0"/>
        <w:jc w:val="both"/>
      </w:pPr>
      <w:r>
        <w:rPr>
          <w:rFonts w:ascii="David" w:hAnsi="David" w:cs="David"/>
          <w:b w:val="0"/>
          <w:sz w:val="24"/>
          <w:szCs w:val="24"/>
          <w:rtl w:val="1"/>
        </w:rPr>
        <w:t>נתחיל בהגדרות. רשתות חברתיות הן פלטפורמות מקוונות המאפשרות למשתמשים ליצור פרופיל, לשתף תכנים ולתקשר זה עם זה. שיימינג, או ביוש, הוא פעילות תוקפנית ומכוונת שמטרתה לפגוע באדם אחר באמצעים דיגיטליים. אצל ילדים ובני נוער בישראל הזירה המרכזית לכך היא קבוצת הווטסאפ הכיתתית. מחקר חלוץ שהשתתפו בו 1,111 תלמידים מכיתות ד' עד י"ב מצא שלרוב המכריע יש קבוצת ווטסאפ כיתתית וחשוב להם להשתייך אליה, ובה בעת רובם חווים בה שיימינג, כקרבנות או כעדים, ומחציתם חווים יותר מסוג פגיעה אחד בו-זמנית (איזנקוט, 2017).</w:t>
      </w:r>
    </w:p>
    <w:p>
      <w:pPr>
        <w:bidi/>
        <w:spacing w:line="360" w:lineRule="auto" w:after="200" w:before="0"/>
        <w:jc w:val="both"/>
      </w:pPr>
      <w:r>
        <w:rPr>
          <w:rFonts w:ascii="David" w:hAnsi="David" w:cs="David"/>
          <w:b w:val="0"/>
          <w:sz w:val="24"/>
          <w:szCs w:val="24"/>
          <w:rtl w:val="1"/>
        </w:rPr>
        <w:t>מבחינה תיאורטית נהוג לבחון את התופעה מתוך גישה חברתית-אקולוגית, הרואה את התנהגות המתבגר כתוצר של יחסי הגומלין בינו לבין סביבותיו. מכאן עולה השאלה מי נפגע יותר. מחקר שהשתתפו בו 482 מתבגרים, מהם 140 עם הפרעת קשב והיפראקטיביות, מצא שתלמידים עם הפרעת קשב מעורבים יותר בבריונות ברשת, כקרבנות, כפוגעים וכעדים. אלה מהם שנחשפו כעדים לבריונות דיווחו על בדידות חברתית ורגשית גבוהה יותר ועל מסוגלות עצמית חברתית נמוכה יותר מתלמידים ללא לקות (היימן, אולניק-שמש ועדן, 2014).</w:t>
      </w:r>
    </w:p>
    <w:p>
      <w:pPr>
        <w:bidi/>
        <w:spacing w:line="360" w:lineRule="auto" w:after="200" w:before="0"/>
        <w:jc w:val="both"/>
      </w:pPr>
      <w:r>
        <w:rPr>
          <w:rFonts w:ascii="David" w:hAnsi="David" w:cs="David"/>
          <w:b w:val="0"/>
          <w:sz w:val="24"/>
          <w:szCs w:val="24"/>
          <w:rtl w:val="1"/>
        </w:rPr>
        <w:t>התמונה מתרחבת כשמביאים בחשבון את עוצמת השימוש עצמו. מחקר שנערך בקרב סטודנטים מצא שהתמכרות לרשתות חברתיות קשורה בעלייה בבדידות ובדיכאון ובירידה במסוגלות הלימודית ובהישגים, בעוד כישורי פתרון בעיות ושביעות רצון מהחיים פועלים בכיוון המגן. הבדידות חוזרת אפוא כחוליה מרכזית, הן כמלווה של פגיעה ברשת והן כתוצאה של שימוש מופרז (Aslan &amp; Polat, 2024).</w:t>
      </w:r>
    </w:p>
    <w:p>
      <w:pPr>
        <w:bidi/>
        <w:spacing w:line="360" w:lineRule="auto" w:after="120" w:before="160"/>
        <w:jc w:val="right"/>
      </w:pPr>
      <w:r>
        <w:rPr>
          <w:rFonts w:ascii="David" w:hAnsi="David" w:cs="David"/>
          <w:b/>
          <w:sz w:val="26"/>
          <w:szCs w:val="26"/>
          <w:rtl w:val="1"/>
          <w:bCs/>
        </w:rPr>
        <w:t>דיון, סיכום ומסקנות</w:t>
      </w:r>
    </w:p>
    <w:p>
      <w:pPr>
        <w:bidi/>
        <w:spacing w:line="360" w:lineRule="auto" w:after="200" w:before="0"/>
        <w:jc w:val="both"/>
      </w:pPr>
      <w:r>
        <w:rPr>
          <w:rFonts w:ascii="David" w:hAnsi="David" w:cs="David"/>
          <w:b w:val="0"/>
          <w:sz w:val="24"/>
          <w:szCs w:val="24"/>
          <w:rtl w:val="1"/>
        </w:rPr>
        <w:t>שלושת המחקרים מציירים יחד תמונה שבה הרשתות החברתיות אינן גורם ניטרלי. הן זירה שבה ילדים ומתבגרים חווים שיימינג והטרדה בהיקף רחב, כבר מגיל צעיר ובתוך הקבוצה הכיתתית עצמה (איזנקוט, 2017). ההיפגעות אינה מסתכמת ברגע הפגיעה, אלא קשורה בבדידות ובמסוגלות חברתית נמוכה, ואוכלוסיות מסוימות כמו תלמידים עם הפרעת קשב חשופות לה יותר (היימן, אולניק-שמש ועדן, 2014). כשמוסיפים לכך את ההשלכות של שימוש מופרז על הרווחה הנפשית ועל התפקוד הלימודי, מתחדדת המסקנה החינוכית. המענה אינו יכול להסתפק בחסימה טכנית או באיסור, אלא צריך לחזק את המשאבים החברתיים-רגשיים של הלומד, לזהות מוקדם אוכלוסיות פגיעות ולערב את ההורים ואת צוות בית הספר (Aslan &amp; Polat, 2024).</w:t>
      </w:r>
    </w:p>
    <w:p>
      <w:r>
        <w:br w:type="page"/>
      </w:r>
    </w:p>
    <w:p>
      <w:pPr>
        <w:bidi/>
        <w:spacing w:line="360" w:lineRule="auto" w:after="200" w:before="160"/>
        <w:jc w:val="right"/>
      </w:pPr>
      <w:r>
        <w:rPr>
          <w:rFonts w:ascii="David" w:hAnsi="David" w:cs="David"/>
          <w:b/>
          <w:sz w:val="26"/>
          <w:szCs w:val="26"/>
          <w:rtl w:val="1"/>
          <w:bCs/>
        </w:rPr>
        <w:t>רשימת מקורות</w:t>
      </w:r>
    </w:p>
    <w:p>
      <w:pPr>
        <w:bidi/>
        <w:spacing w:line="360" w:lineRule="auto" w:after="160"/>
        <w:ind w:right="560" w:hanging="560"/>
        <w:jc w:val="both"/>
      </w:pPr>
      <w:r>
        <w:rPr>
          <w:rFonts w:ascii="David" w:hAnsi="David" w:cs="David"/>
          <w:b w:val="0"/>
          <w:sz w:val="24"/>
          <w:szCs w:val="24"/>
          <w:rtl w:val="1"/>
        </w:rPr>
        <w:t>איזנקוט, ד' (2017). שיימינג בווטסאפ בקרב ילדים ובני נוער בישראל: מחקר חלוץ. הייעוץ החינוכי, כ, 357–383.</w:t>
      </w:r>
    </w:p>
    <w:p>
      <w:pPr>
        <w:bidi/>
        <w:spacing w:line="360" w:lineRule="auto" w:after="160"/>
        <w:ind w:right="560" w:hanging="560"/>
        <w:jc w:val="both"/>
      </w:pPr>
      <w:r>
        <w:rPr>
          <w:rFonts w:ascii="David" w:hAnsi="David" w:cs="David"/>
          <w:b w:val="0"/>
          <w:sz w:val="24"/>
          <w:szCs w:val="24"/>
          <w:rtl w:val="1"/>
        </w:rPr>
        <w:t>היימן, ט', אולניק-שמש, ד', ועדן, ס' (2014). מעורבות וקרבנוּת ברשת בקרב תלמידים עם הפרעת קשב והיפראקטיביות וללא הפרעה זו והקשר למסוגלות עצמית חברתית, בדידות ותמיכה חברתית. מפגש לעבודה חינוכית-סוציאלית, 39, 93–112.</w:t>
      </w:r>
    </w:p>
    <w:p>
      <w:pPr>
        <w:bidi/>
        <w:spacing w:line="360" w:lineRule="auto" w:after="160"/>
        <w:ind w:left="560" w:hanging="560"/>
        <w:jc w:val="both"/>
      </w:pPr>
      <w:r>
        <w:rPr>
          <w:rFonts w:ascii="David" w:hAnsi="David" w:cs="David"/>
          <w:b w:val="0"/>
          <w:sz w:val="24"/>
          <w:szCs w:val="24"/>
        </w:rPr>
        <w:t>Aslan, I., &amp; Polat, H. (2024). Investigating social media addiction and impact of social media addiction, loneliness, depression, life satisfaction and problem-solving skills on academic self-efficacy and academic success among university students. Frontiers in Public Health, 12, 1359691. https://doi.org/10.3389/fpubh.2024.1359691</w:t>
      </w:r>
    </w:p>
    <w:p>
      <w:r>
        <w:br w:type="page"/>
      </w:r>
    </w:p>
    <w:p>
      <w:pPr>
        <w:bidi/>
        <w:spacing w:line="360" w:lineRule="auto" w:after="120" w:before="160"/>
        <w:jc w:val="right"/>
      </w:pPr>
      <w:r>
        <w:rPr>
          <w:rFonts w:ascii="David" w:hAnsi="David" w:cs="David"/>
          <w:b/>
          <w:sz w:val="26"/>
          <w:szCs w:val="26"/>
          <w:rtl w:val="1"/>
          <w:bCs/>
        </w:rPr>
        <w:t>נספח: סיכום מאמר</w:t>
      </w:r>
    </w:p>
    <w:p>
      <w:pPr>
        <w:bidi/>
        <w:spacing w:line="360" w:lineRule="auto" w:after="200" w:before="0"/>
        <w:jc w:val="right"/>
      </w:pPr>
      <w:r>
        <w:rPr>
          <w:rFonts w:ascii="David" w:hAnsi="David" w:cs="David"/>
          <w:b w:val="0"/>
          <w:sz w:val="22"/>
          <w:szCs w:val="22"/>
          <w:rtl w:val="1"/>
        </w:rPr>
        <w:t>היימן, ט', אולניק-שמש, ד', ועדן, ס' (2014). מעורבות וקרבנוּת ברשת בקרב תלמידים עם הפרעת קשב והיפראקטיביות וללא הפרעה זו והקשר למסוגלות עצמית חברתית, בדידות ותמיכה חברתית. מפגש לעבודה חינוכית-סוציאלית, 39, 93–112.</w:t>
      </w:r>
    </w:p>
    <w:p>
      <w:pPr>
        <w:bidi/>
        <w:spacing w:line="360" w:lineRule="auto" w:after="80" w:before="80"/>
        <w:jc w:val="right"/>
      </w:pPr>
      <w:r>
        <w:rPr>
          <w:rFonts w:ascii="David" w:hAnsi="David" w:cs="David"/>
          <w:b/>
          <w:sz w:val="24"/>
          <w:szCs w:val="24"/>
          <w:rtl w:val="1"/>
          <w:bCs/>
        </w:rPr>
        <w:t>שאלת המחקר</w:t>
      </w:r>
    </w:p>
    <w:p>
      <w:pPr>
        <w:bidi/>
        <w:spacing w:line="360" w:lineRule="auto" w:after="200" w:before="0"/>
        <w:jc w:val="both"/>
      </w:pPr>
      <w:r>
        <w:rPr>
          <w:rFonts w:ascii="David" w:hAnsi="David" w:cs="David"/>
          <w:b w:val="0"/>
          <w:sz w:val="24"/>
          <w:szCs w:val="24"/>
          <w:rtl w:val="1"/>
        </w:rPr>
        <w:t>האם תלמידים עם הפרעת קשב והיפראקטיביות מעורבים בבריונות ברשת יותר מתלמידים ללא לקות, ומהו הקשר בין מעורבות זו לבין המסוגלות העצמית החברתית, תחושת הבדידות והתמיכה החברתית שלהם?</w:t>
      </w:r>
    </w:p>
    <w:p>
      <w:pPr>
        <w:bidi/>
        <w:spacing w:line="360" w:lineRule="auto" w:after="80" w:before="80"/>
        <w:jc w:val="right"/>
      </w:pPr>
      <w:r>
        <w:rPr>
          <w:rFonts w:ascii="David" w:hAnsi="David" w:cs="David"/>
          <w:b/>
          <w:sz w:val="24"/>
          <w:szCs w:val="24"/>
          <w:rtl w:val="1"/>
          <w:bCs/>
        </w:rPr>
        <w:t>סקירת הספרות</w:t>
      </w:r>
    </w:p>
    <w:p>
      <w:pPr>
        <w:bidi/>
        <w:spacing w:line="360" w:lineRule="auto" w:after="200" w:before="0"/>
        <w:jc w:val="both"/>
      </w:pPr>
      <w:r>
        <w:rPr>
          <w:rFonts w:ascii="David" w:hAnsi="David" w:cs="David"/>
          <w:b w:val="0"/>
          <w:sz w:val="24"/>
          <w:szCs w:val="24"/>
          <w:rtl w:val="1"/>
        </w:rPr>
        <w:t>סקירת הספרות במאמר עוסקת בהגדרת בריונות ברשת ובמאפייניה הייחודיים, בשכיחות התופעה בקרב מתבגרים, ובקשריה עם מסוגלות עצמית חברתית, תחושת בדידות ותמיכה חברתית. כן נדונה הפגיעוּת המוגברת של תלמידים עם הפרעת קשב והיפראקטיביות.</w:t>
      </w:r>
    </w:p>
    <w:p>
      <w:pPr>
        <w:bidi/>
        <w:spacing w:line="360" w:lineRule="auto" w:after="80" w:before="80"/>
        <w:jc w:val="right"/>
      </w:pPr>
      <w:r>
        <w:rPr>
          <w:rFonts w:ascii="David" w:hAnsi="David" w:cs="David"/>
          <w:b/>
          <w:sz w:val="24"/>
          <w:szCs w:val="24"/>
          <w:rtl w:val="1"/>
          <w:bCs/>
        </w:rPr>
        <w:t>השערות המחקר</w:t>
      </w:r>
    </w:p>
    <w:p>
      <w:pPr>
        <w:bidi/>
        <w:spacing w:line="360" w:lineRule="auto" w:after="200" w:before="0"/>
        <w:jc w:val="both"/>
      </w:pPr>
      <w:r>
        <w:rPr>
          <w:rFonts w:ascii="David" w:hAnsi="David" w:cs="David"/>
          <w:b w:val="0"/>
          <w:sz w:val="24"/>
          <w:szCs w:val="24"/>
          <w:rtl w:val="1"/>
        </w:rPr>
        <w:t>(1) תלמידים עם הפרעת קשב יהיו מעורבים יותר בהתנסויות ברשת, כקרבנות וכפוגעים, מתלמידים ללא לקות. (2) יימצא קשר בין מעורבות בבריונות ברשת לבין מסוגלות עצמית חברתית נמוכה, בדידות רבה ותמיכה חברתית מועטה. (3) תלמידים עם הפרעת קשב ידווחו על מסוגלות עצמית חברתית נמוכה יותר, בדידות גבוהה יותר ותמיכה חברתית מועטה יותר מתלמידים ללא לקות.</w:t>
      </w:r>
    </w:p>
    <w:p>
      <w:pPr>
        <w:bidi/>
        <w:spacing w:line="360" w:lineRule="auto" w:after="80" w:before="80"/>
        <w:jc w:val="right"/>
      </w:pPr>
      <w:r>
        <w:rPr>
          <w:rFonts w:ascii="David" w:hAnsi="David" w:cs="David"/>
          <w:b/>
          <w:sz w:val="24"/>
          <w:szCs w:val="24"/>
          <w:rtl w:val="1"/>
          <w:bCs/>
        </w:rPr>
        <w:t>שיטת המחקר</w:t>
      </w:r>
    </w:p>
    <w:p>
      <w:pPr>
        <w:bidi/>
        <w:spacing w:line="360" w:lineRule="auto" w:after="120"/>
        <w:ind w:right="360"/>
        <w:jc w:val="both"/>
      </w:pPr>
      <w:r>
        <w:rPr>
          <w:rFonts w:ascii="David" w:hAnsi="David" w:cs="David"/>
          <w:b/>
          <w:sz w:val="24"/>
          <w:szCs w:val="24"/>
          <w:rtl w:val="1"/>
          <w:bCs/>
        </w:rPr>
        <w:t xml:space="preserve">הנבדקים: </w:t>
      </w:r>
      <w:r>
        <w:rPr>
          <w:rFonts w:ascii="David" w:hAnsi="David" w:cs="David"/>
          <w:b w:val="0"/>
          <w:sz w:val="24"/>
          <w:szCs w:val="24"/>
          <w:rtl w:val="1"/>
        </w:rPr>
        <w:t>482 תלמידים משלוש חטיבות ביניים ושני בתי ספר תיכוניים, שנבחרו באופן אקראי: 140 תלמידים עם הפרעת קשב והיפראקטיביות ו-342 תלמידים ללא לקות, בכיתות ז' עד י' (גיל ממוצע 14.38).</w:t>
      </w:r>
    </w:p>
    <w:p>
      <w:pPr>
        <w:bidi/>
        <w:spacing w:line="360" w:lineRule="auto" w:after="120"/>
        <w:ind w:right="360"/>
        <w:jc w:val="both"/>
      </w:pPr>
      <w:r>
        <w:rPr>
          <w:rFonts w:ascii="David" w:hAnsi="David" w:cs="David"/>
          <w:b/>
          <w:sz w:val="24"/>
          <w:szCs w:val="24"/>
          <w:rtl w:val="1"/>
          <w:bCs/>
        </w:rPr>
        <w:t xml:space="preserve">כלי המחקר: </w:t>
      </w:r>
      <w:r>
        <w:rPr>
          <w:rFonts w:ascii="David" w:hAnsi="David" w:cs="David"/>
          <w:b w:val="0"/>
          <w:sz w:val="24"/>
          <w:szCs w:val="24"/>
          <w:rtl w:val="1"/>
        </w:rPr>
        <w:t>ארבעה שאלוני דיווח עצמי: שאלון מעורבות בבריונות ברשת (Smith ועמיתיו, 2008, שתורגם ועובד לעברית), שאלון מסוגלות עצמית לילדים (Muris, 2001) הכולל תת-סולם מסוגלות עצמית חברתית, שאלון תחושת בדידות (חברתית ורגשית), ושאלון תמיכה חברתית נתפסת (Zimet ועמיתיו, 1988).</w:t>
      </w:r>
    </w:p>
    <w:p>
      <w:pPr>
        <w:bidi/>
        <w:spacing w:line="360" w:lineRule="auto" w:after="120"/>
        <w:ind w:right="360"/>
        <w:jc w:val="both"/>
      </w:pPr>
      <w:r>
        <w:rPr>
          <w:rFonts w:ascii="David" w:hAnsi="David" w:cs="David"/>
          <w:b/>
          <w:sz w:val="24"/>
          <w:szCs w:val="24"/>
          <w:rtl w:val="1"/>
          <w:bCs/>
        </w:rPr>
        <w:t xml:space="preserve">הליך המחקר: </w:t>
      </w:r>
      <w:r>
        <w:rPr>
          <w:rFonts w:ascii="David" w:hAnsi="David" w:cs="David"/>
          <w:b w:val="0"/>
          <w:sz w:val="24"/>
          <w:szCs w:val="24"/>
          <w:rtl w:val="1"/>
        </w:rPr>
        <w:t>כל משתתף מילא את ארבעת השאלונים במהלך שיעור בכיתה. ההשתתפות הייתה אנונימית.</w:t>
      </w:r>
    </w:p>
    <w:p>
      <w:pPr>
        <w:bidi/>
        <w:spacing w:line="360" w:lineRule="auto" w:after="80" w:before="80"/>
        <w:jc w:val="right"/>
      </w:pPr>
      <w:r>
        <w:rPr>
          <w:rFonts w:ascii="David" w:hAnsi="David" w:cs="David"/>
          <w:b/>
          <w:sz w:val="24"/>
          <w:szCs w:val="24"/>
          <w:rtl w:val="1"/>
          <w:bCs/>
        </w:rPr>
        <w:t>ממצאים</w:t>
      </w:r>
    </w:p>
    <w:p>
      <w:pPr>
        <w:bidi/>
        <w:spacing w:line="360" w:lineRule="auto" w:after="200" w:before="0"/>
        <w:jc w:val="both"/>
      </w:pPr>
      <w:r>
        <w:rPr>
          <w:rFonts w:ascii="David" w:hAnsi="David" w:cs="David"/>
          <w:b w:val="0"/>
          <w:sz w:val="24"/>
          <w:szCs w:val="24"/>
          <w:rtl w:val="1"/>
        </w:rPr>
        <w:t>תלמידים עם הפרעת קשב דיווחו על מעורבות גבוהה יותר בבריונות ברשת, הן כקרבנות, הן כפוגעים והן כעדים, בהשוואה לתלמידים ללא לקות. ניתוחי שונות רב-משתנית דו-כיווניים העלו שתלמידים עם הפרעת קשב שהיו עדים לבריונות ברשת דיווחו על תחושות בדידות חברתית ורגשית גבוהות יותר ועל מסוגלות עצמית חברתית נמוכה יותר מתלמידים ללא לקות.</w:t>
      </w:r>
    </w:p>
    <w:p>
      <w:pPr>
        <w:bidi/>
        <w:spacing w:line="360" w:lineRule="auto" w:after="80" w:before="80"/>
        <w:jc w:val="right"/>
      </w:pPr>
      <w:r>
        <w:rPr>
          <w:rFonts w:ascii="David" w:hAnsi="David" w:cs="David"/>
          <w:b/>
          <w:sz w:val="24"/>
          <w:szCs w:val="24"/>
          <w:rtl w:val="1"/>
          <w:bCs/>
        </w:rPr>
        <w:t>דיון, מסקנות והמלצות</w:t>
      </w:r>
    </w:p>
    <w:p>
      <w:pPr>
        <w:bidi/>
        <w:spacing w:line="360" w:lineRule="auto" w:after="200" w:before="0"/>
        <w:jc w:val="both"/>
      </w:pPr>
      <w:r>
        <w:rPr>
          <w:rFonts w:ascii="David" w:hAnsi="David" w:cs="David"/>
          <w:b w:val="0"/>
          <w:sz w:val="24"/>
          <w:szCs w:val="24"/>
          <w:rtl w:val="1"/>
        </w:rPr>
        <w:t>מתבגרים עם הפרעת קשב נמצאים בסיכון מוגבר למעורבות בבריונות ברשת ולהשלכותיה החברתיות-רגשיות. החוקרים ממליצים על מחקרי המשך שיבחנו את תרומתם של מאפיינים אישיים וסביבתיים להתמודדות יעילה, ועל פיתוח תוכניות מניעה והתערבות בבתי הספר, בדגש על אוכלוסיות בסיכון.</w:t>
      </w:r>
    </w:p>
    <w:p>
      <w:pPr>
        <w:bidi/>
        <w:spacing w:line="360" w:lineRule="auto" w:after="80" w:before="80"/>
        <w:jc w:val="right"/>
      </w:pPr>
      <w:r>
        <w:rPr>
          <w:rFonts w:ascii="David" w:hAnsi="David" w:cs="David"/>
          <w:b/>
          <w:sz w:val="24"/>
          <w:szCs w:val="24"/>
          <w:rtl w:val="1"/>
          <w:bCs/>
        </w:rPr>
        <w:t>מגבלות המחקר</w:t>
      </w:r>
    </w:p>
    <w:p>
      <w:pPr>
        <w:bidi/>
        <w:spacing w:line="360" w:lineRule="auto" w:after="200" w:before="0"/>
        <w:jc w:val="both"/>
      </w:pPr>
      <w:r>
        <w:rPr>
          <w:rFonts w:ascii="David" w:hAnsi="David" w:cs="David"/>
          <w:b w:val="0"/>
          <w:sz w:val="24"/>
          <w:szCs w:val="24"/>
          <w:rtl w:val="1"/>
        </w:rPr>
        <w:t>ההסתמכות על שאלוני דיווח עצמי עלולה להטות את הממצאים, והפער המספרי בין הקבוצות והיעדר דגימה מבוקרת של קבוצת ההשוואה מגבילים את יכולת ההכללה.</w:t>
      </w:r>
    </w:p>
    <w:sectPr w:rsidR="00FC693F" w:rsidRPr="0006063C" w:rsidSect="00034616">
      <w:footerReference w:type="default" r:id="rId9"/>
      <w:pgSz w:w="12240" w:h="15840"/>
      <w:pgMar w:top="1440" w:right="1440" w:bottom="1440" w:left="144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avid" w:hAnsi="David"/>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