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 שתיהן מוכרות במשפט העבודה הקיבוצי בישראל (בן-ישראל, 2002; הילדסהימר, 2026ג). הזכות הראשונה מעוגנת ב</w:t>
      </w:r>
      <w:r>
        <w:rPr>
          <w:b/>
          <w:sz w:val="24"/>
          <w:rtl/>
          <w:szCs w:val="24"/>
          <w:bCs/>
        </w:rPr>
        <w:t>סעיף 33ח לחוק הסכמים קיבוציים, התשי"ז-1957</w:t>
      </w:r>
      <w:r>
        <w:rPr>
          <w:sz w:val="24"/>
          <w:rtl/>
          <w:szCs w:val="24"/>
        </w:rPr>
        <w:t>,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בג"ץ 7029/95 הסתדרות העובדים הכללית החדשה נ' בית הדין הארצי לעבודה (עניין עמית, 1997)</w:t>
      </w:r>
      <w:r>
        <w:rPr>
          <w:sz w:val="24"/>
          <w:rtl/>
          <w:szCs w:val="24"/>
        </w:rPr>
        <w:t xml:space="preserve">. ארבעה מבחנים נקבעו שם.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מבחני החברות והתקנון מתקיימים: החברים הם עובדים שהצטרפו מרצונם, ולקבוצה תקנון. הקושי בשני המבחנים האחרים, שנבחנים לפי המהות ולא לפי הכותרות.</w:t>
      </w:r>
    </w:p>
    <w:p>
      <w:pPr>
        <w:bidi/>
        <w:spacing w:before="0" w:after="0"/>
        <w:jc w:val="both"/>
      </w:pPr>
      <w:r>
        <w:rPr>
          <w:b/>
          <w:sz w:val="24"/>
          <w:rtl/>
          <w:szCs w:val="24"/>
          <w:bCs/>
        </w:rPr>
        <w:t>מבחן המטרה.</w:t>
      </w:r>
      <w:r>
        <w:rPr>
          <w:sz w:val="24"/>
          <w:rtl/>
          <w:szCs w:val="24"/>
        </w:rPr>
        <w:t xml:space="preserve"> סעיף הסמכויות מקנה לקבוצה סמכות לנהל משא ומתן, לאשר הסכמים קיבוציים ולהכריז על סכסוך עבודה. אולם סעיף המטרות, ובפרט </w:t>
      </w:r>
      <w:r>
        <w:rPr>
          <w:b/>
          <w:sz w:val="24"/>
          <w:rtl/>
          <w:szCs w:val="24"/>
          <w:bCs/>
        </w:rPr>
        <w:t>מטרה ד'</w:t>
      </w:r>
      <w:r>
        <w:rPr>
          <w:sz w:val="24"/>
          <w:rtl/>
          <w:szCs w:val="24"/>
        </w:rPr>
        <w:t xml:space="preserve">, מוציא מראש מתחום הפעולה הקיבוצית את השכר, הבונוסים והאופציות, שהם ליבת תנאי העבודה בחברת טכנולוגיה. גוף כזה אינו מקדם את זכויות העובדים מול המעסיק.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בלבד, ומטרה ד' משקפת התנגדות עקרונית לייצוג 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וראה בה דרך לשמור על "התרבות הייחודית של החברה", ובמקביל פעל נגד ההסתדרות.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w:t>
      </w:r>
      <w:r>
        <w:rPr>
          <w:b/>
          <w:sz w:val="24"/>
          <w:rtl/>
          <w:szCs w:val="24"/>
          <w:bCs/>
        </w:rPr>
        <w:t>עס"ק (ארצי) 6298-03-25 הסתדרות העובדים הכללית החדשה נ' ארגון עובדי הפיתוח והשיווק בנוקיה (10.6.2025)</w:t>
      </w:r>
      <w:r>
        <w:rPr>
          <w:sz w:val="24"/>
          <w:rtl/>
          <w:szCs w:val="24"/>
        </w:rPr>
        <w:t xml:space="preserve"> יישם בית הדין הארצי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אבל חופש זה אינו הופך את הקבוצה לארגון עובדים.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עס"ק (ארצי) 25476-09-12 הסתדרות העובדים החדשה נ' פלאפון תקשורת בע"מ (2.1.2013)</w:t>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שנועד להעביר את עמדת ההנהלה, ובית הדין אסר עליו במפורש. חומרתה רבה משום שהמנהלים משפיעים על הבונוסים והקידום של העובדים.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עומדת במבחני החברות והתקנון של עניין עמית, אך לא במבחן המטרה ולא במבחן הקול הנגדי, כפי שנפסק בנסיבות דומות בעניין נוקיה. פעולות ההנהלה הפרו את האיסור על הבעת עמדה בשלב ההתארגנות הפורצת שנקבע בעניין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 התשנ"ח-1998</w:t>
      </w:r>
      <w:r>
        <w:rPr>
          <w:sz w:val="24"/>
          <w:rtl/>
          <w:szCs w:val="24"/>
        </w:rPr>
        <w:t xml:space="preserve">, נועד להגן על כבוד האדם, חירותו ופרטיותו (סעיף 1; הילדסהימר, 2026ב).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 הצעות חוזרות (סעיף 3(א)(3)) לא היו, והשאלה על נטייתו של אורי לא נשאלה בדרך מבזה (סעיף 3(א)(5)).</w:t>
      </w:r>
    </w:p>
    <w:p>
      <w:pPr>
        <w:bidi/>
        <w:spacing w:before="0" w:after="0"/>
        <w:jc w:val="both"/>
      </w:pPr>
      <w:r>
        <w:rPr>
          <w:sz w:val="24"/>
          <w:rtl/>
          <w:szCs w:val="24"/>
        </w:rPr>
        <w:t>השיחות התקיימו במשרד, ולכן ב"מסגרת יחסי עבודה". "הראה" פירושו במילים או בהתנהגות שאין ספק סביר לגבי משמעותה (הגדרות שבסעיף 2 לחוק), ואורי לא עשה כן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עש"ם 2203/05 מדר נ' נציבות שירות המדינה (21.7.2005)</w:t>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משתתפת בהחלטות השיבוץ ומשפיעה על קידום עובדים צעירים כמו אורי. לפי הלכת מדר אלה יחסי מרות, והשתתפותו של אורי בשיחות יכולה לנבוע מרצון שלא להסתכסך עם מי שמשפיעה על עתידו.</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הישירה על נטייתו של אורי נשאלה פעם אחת. רוב השיחות עסקו בחייה של דנה, היו הדדיות ולא נקשרו למעמדו בעבודה, ולכן קשה לבסס כאן הטרדה מינית. אין זו גם </w:t>
      </w:r>
      <w:r>
        <w:rPr>
          <w:b/>
          <w:sz w:val="24"/>
          <w:rtl/>
          <w:szCs w:val="24"/>
          <w:bCs/>
        </w:rPr>
        <w:t>הטרדה סביבתית</w:t>
      </w:r>
      <w:r>
        <w:rPr>
          <w:sz w:val="24"/>
          <w:rtl/>
          <w:szCs w:val="24"/>
        </w:rPr>
        <w:t>, שכן ההתנהגות הופנתה לאורי בלבד.</w:t>
      </w:r>
    </w:p>
    <w:p>
      <w:pPr>
        <w:bidi/>
        <w:spacing w:before="120" w:after="0"/>
        <w:jc w:val="both"/>
      </w:pPr>
      <w:r>
        <w:rPr>
          <w:b/>
          <w:sz w:val="24"/>
          <w:rtl/>
          <w:szCs w:val="24"/>
          <w:bCs/>
        </w:rPr>
        <w:t>2. חובות המעסיק והתנכלות</w:t>
      </w:r>
    </w:p>
    <w:p>
      <w:pPr>
        <w:bidi/>
        <w:spacing w:before="0" w:after="0"/>
        <w:jc w:val="both"/>
      </w:pPr>
      <w:r>
        <w:rPr>
          <w:sz w:val="24"/>
          <w:rtl/>
          <w:szCs w:val="24"/>
        </w:rPr>
        <w:t xml:space="preserve">לפי </w:t>
      </w:r>
      <w:r>
        <w:rPr>
          <w:b/>
          <w:sz w:val="24"/>
          <w:rtl/>
          <w:szCs w:val="24"/>
          <w:bCs/>
        </w:rPr>
        <w:t>סעיף 7(א) לחוק</w:t>
      </w:r>
      <w:r>
        <w:rPr>
          <w:sz w:val="24"/>
          <w:rtl/>
          <w:szCs w:val="24"/>
        </w:rPr>
        <w:t xml:space="preserve">, מעסיק חייב לנקוט אמצעים סבירים כדי למנוע הטרדה מינית והתנכלות ולטפל בכל מקרה. Frame מעסיקה כ-70 עובדים, ולכן, לפי </w:t>
      </w:r>
      <w:r>
        <w:rPr>
          <w:b/>
          <w:sz w:val="24"/>
          <w:rtl/>
          <w:szCs w:val="24"/>
          <w:bCs/>
        </w:rPr>
        <w:t>סעיף 7(ב)</w:t>
      </w:r>
      <w:r>
        <w:rPr>
          <w:sz w:val="24"/>
          <w:rtl/>
          <w:szCs w:val="24"/>
        </w:rPr>
        <w:t xml:space="preserve"> ו</w:t>
      </w:r>
      <w:r>
        <w:rPr>
          <w:b/>
          <w:sz w:val="24"/>
          <w:rtl/>
          <w:szCs w:val="24"/>
          <w:bCs/>
        </w:rPr>
        <w:t>תקנות למניעת הטרדה מינית (חובות מעסיק), התשנ"ח-1998</w:t>
      </w:r>
      <w:r>
        <w:rPr>
          <w:sz w:val="24"/>
          <w:rtl/>
          <w:szCs w:val="24"/>
        </w:rPr>
        <w:t xml:space="preserve">, עליה גם להתאים את התקנון לדוגמה ולפרסמו (תקנות 2(ג) ו-8), ולמנות </w:t>
      </w:r>
      <w:r>
        <w:rPr>
          <w:b/>
          <w:sz w:val="24"/>
          <w:rtl/>
          <w:szCs w:val="24"/>
          <w:bCs/>
        </w:rPr>
        <w:t>אחראי</w:t>
      </w:r>
      <w:r>
        <w:rPr>
          <w:sz w:val="24"/>
          <w:rtl/>
          <w:szCs w:val="24"/>
        </w:rPr>
        <w:t xml:space="preserve"> לקבלת תלונות ולבירורן (תקנה 4). נודע למעסיק על מקרה גם בלי תלונה, עליו להעבירו לבירור האחראי (תקנה 6(ט)).</w:t>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סעיף 7(א) לחוק שוויון ההזדמנויות בעבודה, התשמ"ח-1988</w:t>
      </w:r>
      <w:r>
        <w:rPr>
          <w:sz w:val="24"/>
          <w:rtl/>
          <w:szCs w:val="24"/>
        </w:rPr>
        <w:t>,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 אם יוכרו יחסי מרות, גם השאלה הבודדת על נטייתו של אורי עשויה להספיק. העברתו לצוות טכני חודש אחרי שביקש לסיים את השיחות, והשפעתה של דנה על השיבוץ, מעוררות חשד לקשר כזה. משהוכיח זאת אורי, עובר למעסיק הנטל להראות שלא פגע בו (סעיף 9(ב) לאותו חוק), אף שהעובדות אינן מראות שדנה הייתה מעורבת בהחלטה.</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למעסיק </w:t>
      </w:r>
      <w:r>
        <w:rPr>
          <w:b/>
          <w:sz w:val="24"/>
          <w:rtl/>
          <w:szCs w:val="24"/>
          <w:bCs/>
        </w:rPr>
        <w:t>פררוגטיבה ניהולית</w:t>
      </w:r>
      <w:r>
        <w:rPr>
          <w:sz w:val="24"/>
          <w:rtl/>
          <w:szCs w:val="24"/>
        </w:rPr>
        <w:t xml:space="preserve"> לשנות באופן חד-צדדי נהלי עבודה. שינוי שחורג ממנה ופוגע בהכנסת העובד או ב</w:t>
      </w:r>
      <w:r>
        <w:rPr>
          <w:b/>
          <w:sz w:val="24"/>
          <w:rtl/>
          <w:szCs w:val="24"/>
          <w:bCs/>
        </w:rPr>
        <w:t>מעמדו בארגון</w:t>
      </w:r>
      <w:r>
        <w:rPr>
          <w:sz w:val="24"/>
          <w:rtl/>
          <w:szCs w:val="24"/>
        </w:rPr>
        <w:t xml:space="preserve"> הוא </w:t>
      </w:r>
      <w:r>
        <w:rPr>
          <w:b/>
          <w:sz w:val="24"/>
          <w:rtl/>
          <w:szCs w:val="24"/>
          <w:bCs/>
        </w:rPr>
        <w:t>הרעת תנאים</w:t>
      </w:r>
      <w:r>
        <w:rPr>
          <w:sz w:val="24"/>
          <w:rtl/>
          <w:szCs w:val="24"/>
        </w:rPr>
        <w:t xml:space="preserve"> והפרה של חוזה העבודה (הילדסהימר, 2026א). העברתו של אורי מהפרויקטים המרכזיים לעריכה טכנית, בלי ישיבות קריאטיב ועם פחות אחריות, היא פגיעה במעמד, אף ששכרו לא השתנה. שינוי ב"תיאור עיקרי התפקיד" מחייב גם הודעה בכתב לעובד בתוך 30 יום (סעיפים 2(א)(3) ו-3 ל</w:t>
      </w:r>
      <w:r>
        <w:rPr>
          <w:b/>
          <w:sz w:val="24"/>
          <w:rtl/>
          <w:szCs w:val="24"/>
          <w:bCs/>
        </w:rPr>
        <w:t>חוק הודעה לעובד ולמועמד לעבודה, התשס"ב-2002</w:t>
      </w:r>
      <w:r>
        <w:rPr>
          <w:sz w:val="24"/>
          <w:rtl/>
          <w:szCs w:val="24"/>
        </w:rPr>
        <w:t>), ובהיעדרה עובר למעסיק נטל ההוכחה בעניין השנוי במחלוקת (סעיף 5א).</w:t>
      </w:r>
    </w:p>
    <w:p>
      <w:pPr>
        <w:bidi/>
        <w:spacing w:before="0" w:after="0"/>
        <w:jc w:val="both"/>
      </w:pPr>
      <w:r>
        <w:rPr>
          <w:sz w:val="24"/>
          <w:rtl/>
          <w:szCs w:val="24"/>
        </w:rPr>
        <w:t xml:space="preserve">לפי </w:t>
      </w:r>
      <w:r>
        <w:rPr>
          <w:b/>
          <w:sz w:val="24"/>
          <w:rtl/>
          <w:szCs w:val="24"/>
          <w:bCs/>
        </w:rPr>
        <w:t>סעיף 11(א) לחוק פיצויי פיטורים, התשכ"ג-1963</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 כלומר לעניין הזכאות לפיצויי פיטורים בלבד. הזכאות עצמה מותנית בשנת עבודה אחת ברציפות אצל אותו מעסיק (סעיף 1(א) לחוק), ומאחר שאורי "התקבל" לחברה ותקופת העסקתו אינה ידועה, יש לבדוק תחילה שתנאי זה מתקיים.</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שיהוי עלול להתפרש כהסכמה להרעה. ב</w:t>
      </w:r>
      <w:r>
        <w:rPr>
          <w:b/>
          <w:sz w:val="24"/>
          <w:rtl/>
          <w:szCs w:val="24"/>
          <w:bCs/>
        </w:rPr>
        <w:t>תב"ע (ארצי) נד/3-86 גולן נ' אי.אל.די. בע"מ</w:t>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ביקש לחזור לתפקידו, לא התריע על כוונתו להתפטר ועבד ארבעה חודשים במתכונת החדשה. אף שהתקופה קצרה מזו שבעניין גולן, השתיקה מלמדת על השלמה עם השינוי. גם "נסיבות אחרות" אינן מסייעות לו, שכן השיחות הסתיימו חודשים לפני ההתפטרות.</w:t>
      </w:r>
    </w:p>
    <w:p>
      <w:pPr>
        <w:bidi/>
        <w:spacing w:before="120" w:after="0"/>
        <w:jc w:val="both"/>
      </w:pPr>
      <w:r>
        <w:rPr>
          <w:b/>
          <w:sz w:val="24"/>
          <w:rtl/>
          <w:szCs w:val="24"/>
          <w:bCs/>
        </w:rPr>
        <w:t>4. סיכום</w:t>
      </w:r>
    </w:p>
    <w:p>
      <w:pPr>
        <w:bidi/>
        <w:spacing w:before="0" w:after="0"/>
        <w:jc w:val="both"/>
      </w:pPr>
      <w:r>
        <w:rPr>
          <w:sz w:val="24"/>
          <w:rtl/>
          <w:szCs w:val="24"/>
        </w:rPr>
        <w:t>טענת ההטרדה המינית חלשה: גם אם יוכרו יחסי מרות לפי הלכת מדר, קשה להראות התייחסויות חוזרות למיניותו של אורי. טענת ההתנכלות חזקה יותר, בשל סעיפים 7 ו-9 לחוק שוויון ההזדמנויות. טענת ההתפטרות בדין מפוטר נכשלת בשל היעדר התראה והשיהוי (הלכת גולן). על Frame לוודא שיש לה תקנון מותאם ואחראי.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7029/95 הסתדרות העובדים הכללית החדשה נ' בית הדין הארצי לעבודה ועמית, הסתדרות עובדים מכבי (1997).</w:t>
      </w:r>
    </w:p>
    <w:p>
      <w:pPr>
        <w:bidi/>
        <w:spacing w:before="0" w:after="0"/>
        <w:jc w:val="both"/>
      </w:pPr>
      <w:r>
        <w:rPr>
          <w:sz w:val="24"/>
          <w:rtl/>
          <w:szCs w:val="24"/>
        </w:rPr>
        <w:t>עס"ק (ארצי) 6298-03-25 הסתדרות העובדים הכללית החדשה נ' ארגון עובדי הפיתוח והשיווק בנוקיה (10.6.2025).</w:t>
      </w:r>
    </w:p>
    <w:p>
      <w:pPr>
        <w:bidi/>
        <w:spacing w:before="0" w:after="0"/>
        <w:jc w:val="both"/>
      </w:pPr>
      <w:r>
        <w:rPr>
          <w:sz w:val="24"/>
          <w:rtl/>
          <w:szCs w:val="24"/>
        </w:rPr>
        <w:t>עס"ק (ארצי) 25476-09-12 הסתדרות העובדים החדשה נ' פלאפון תקשורת בע"מ (2.1.2013).</w:t>
      </w:r>
    </w:p>
    <w:p>
      <w:pPr>
        <w:bidi/>
        <w:spacing w:before="0" w:after="0"/>
        <w:jc w:val="both"/>
      </w:pPr>
      <w:r>
        <w:rPr>
          <w:sz w:val="24"/>
          <w:rtl/>
          <w:szCs w:val="24"/>
        </w:rPr>
        <w:t>עש"ם 2203/05 מדר נ' נציבות שירות המדינה (21.7.2005).</w:t>
      </w:r>
    </w:p>
    <w:p>
      <w:pPr>
        <w:bidi/>
        <w:spacing w:before="0" w:after="0"/>
        <w:jc w:val="both"/>
      </w:pPr>
      <w:r>
        <w:rPr>
          <w:sz w:val="24"/>
          <w:rtl/>
          <w:szCs w:val="24"/>
        </w:rPr>
        <w:t>תב"ע (ארצי) נד/3-86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בן-ישראל, ר' (2002). דיני עבודה (כרך א', עמ' 32-48).</w:t>
      </w:r>
    </w:p>
    <w:p>
      <w:pPr>
        <w:bidi/>
        <w:spacing w:before="0" w:after="0"/>
        <w:jc w:val="both"/>
      </w:pPr>
      <w:r>
        <w:rPr>
          <w:sz w:val="24"/>
          <w:rtl/>
          <w:szCs w:val="24"/>
        </w:rPr>
        <w:t>הילדסהימר, ג' (2026א). חוזה עבודה אישי ומניעת הרעת תנאים,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(2026ב). החוק למניעת הטרדה מינית,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(2026ג). התארגנויות עובדים [מצגת הרצאה]. היבטים משפטיים ואתיים בייעוץ ופיתוח ארגוני, המרכז האקדמי פרס.</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