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24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24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16</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19</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בסקירות המחקר מקובל לראות במגדר את אחד המנבאים החזקים ביותר של מעורבות בפשיעה, חזק יותר מגיל, ממעמד חברתי-כלכלי, מהשכלה ומרוב המשתנים הדמוגרפיים האחרים (van der Heijden, 2024).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(Sela-Shayovitz, 2017; van der Heijden, 2024).</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(לרנאו, 2023).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(Naegler &amp; Salman, 2016).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(Campaniello, 2019).</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(Campaniello, 2019). באוכלוסיית האסירים הפער בולט עוד יותר: נשים מהוות בעולם כחמישה אחוזים בלבד מכלל הכלואים, ובישראל אף פחות מכך.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(פרישטוק, 2019; Campaniello, 2019).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(Campaniello, 2019).</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(יוכט, 2019; פרישטוק, 2019). רביעית, מאפייני רקע: נשים כלואות מתאפיינות בשיעורים גבוהים של עוני, אימהוּת יחידנית, תחלואה נפשית והתמכרויות, ריבוי פגיעויות המבחין אותן מאוכלוסיית האסירים הגברית.</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כפי שמצוטט אצל van der Heijden, 2024)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(Savolainen et al., 2017).</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(יוכט, 2019).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(לרנאו, 2023).</w:t>
      </w:r>
    </w:p>
    <w:p>
      <w:pPr>
        <w:bidi/>
        <w:spacing w:after="160" w:before="0" w:line="360"/>
        <w:jc w:val="both"/>
      </w:pPr>
      <w:r>
        <w:rPr>
          <w:rFonts w:ascii="David" w:cs="David" w:eastAsia="David" w:hAnsi="David"/>
          <w:sz w:val="24"/>
          <w:szCs w:val="24"/>
          <w:rtl/>
        </w:rPr>
        <w:t xml:space="preserve">ברק-ארז (2023) מוסיפה לקריאה זו ממד משפטי. עיון בסיפורי המקרא מגלה נשים כשחקניות פעילות בעולם המשפט: שופטת (דבורה) ומתדיינות העומדות על זכויותיהן (בנות צלפחד, האישה החכמה מתקוע, תמר ורות), דווקא מעמדת נחיתות חברתית. לענייננו מכרעת האבחנה שהיא מציעה בין נשים שפעלו בתוך המערכת המשפטית לבין נשים שנקטו אי-ציות לחוק בנסיבות שבהן לא עמדה לרשותן כל ערכאה שיכולה הייתה לסייע, ובראשן המיילדות העבריות שסירבו לגזרת פרעה. אבחנה זו מטרימה את הממצא הקרימינולוגי המודרני: מקום שבו נחסמת בפני נשים הגישה לצדק ולאמצעים לגיטימיים, שם צומחת העבירה הנשית, על פי רוב כעבירת הישרדות והגנה. הרחבת הגישה לצדק מתגלה אפוא, כבר בקריאה המקראית, כמנגנון של מניעת עבריינות.</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(Naegler &amp; Salman, 2016).</w:t>
      </w:r>
    </w:p>
    <w:p>
      <w:pPr>
        <w:bidi/>
        <w:spacing w:after="160" w:before="0" w:line="360"/>
        <w:jc w:val="both"/>
      </w:pPr>
      <w:r>
        <w:rPr>
          <w:rFonts w:ascii="David" w:cs="David" w:eastAsia="David" w:hAnsi="David"/>
          <w:sz w:val="24"/>
          <w:szCs w:val="24"/>
          <w:rtl/>
        </w:rPr>
        <w:t xml:space="preserve">פולק (Pollak, 1950, כפי שמצוטט אצל van der Heijden, 2024)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צמחה "תיאוריית האמנציפציה": אדלר (Adler, 1975, כפי שמצוטט אצל Estrada et al., 2016) טענה בספרה "אחיות בפשע" כי השחרור הנשי יביא להתכנסות דפוסי הפשיעה: ככל שנשים ישתלבו בשוק העבודה ובעמדות כוח, כך תעלה עבריינותן ותידמה לזו הגברית. גרסה מתונה של התיאוריה גרסה כי ההשתלבות התעסוקתית תרחיב בעיקר את הזדמנויותיהן של נשים לעבירות רכוש וצווארון לבן (Campaniello, 2019).</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כפי שמצוטט אצל Naegler &amp; Salman, 2016)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כפי שמצוטט אצל Savolainen et al., 2017)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(Nilsson, 2017).</w:t>
      </w:r>
    </w:p>
    <w:p>
      <w:pPr>
        <w:bidi/>
        <w:spacing w:after="160" w:before="0" w:line="360"/>
        <w:jc w:val="both"/>
      </w:pPr>
      <w:r>
        <w:rPr>
          <w:rFonts w:ascii="David" w:cs="David" w:eastAsia="David" w:hAnsi="David"/>
          <w:sz w:val="24"/>
          <w:szCs w:val="24"/>
          <w:rtl/>
        </w:rPr>
        <w:t xml:space="preserve">ברוידי ואגניו (Broidy &amp; Agnew, 1997, כפי שמצוטט אצל Savolainen et al., 2017)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כפי שמצוטט אצל van der Heijden, 2024)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כפי שמצוטט אצל Adamczyk et al., 2017)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(Adamczyk et al., 2017). על בסיס זה צמחו הקרימינולוגיה החיובית, המדגישה גורמי חוסן, שילוב חברתי וחוויות מתקנות,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משלושים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שבהן הבנות עוברות מעט יותר עבירות והבנים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בהסבר הפער המגדרי בעבריינות נוער. ממצאיה עקביים עם תיאוריות הפיקוח: בנות דיווחו על רמות גבוהות יותר של קשר להורים ושל פיקוח הורי, משתנים אלה נמצאו קשורים לעבריינות אצל שני המינים, והם מסבירים חלק מן הפער המגדרי בהתנהגות העבריינית. ממצא זה מספק תמיכה אמפירית עדכנית לטענה המרכזית של עבודה זו, שלפיה הפער המגדרי מתווך במידה רבה על ידי פיקוח וקשר משפחתי,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הספרות העדכנית מסכמת שלושה ממצאי ליבה: ראשית, הפער המגדרי נותר עמיד במיוחד בעבירות החמורות בכל שיטות המדידה (Campaniello, 2019); שנית, ההסברים הנתמכים ביותר הם חיברות מגדרי ופיקוח חברתי דיפרנציאלי, ולא הבדלים ביולוגיים (Nilsson, 2017; Savolainen et al., 2017); שלישית, מסלולי הכניסה של נשים לעבריינות שזורים בקורבנות קודמת, בעוני ובתלות בבני זוג, ומכאן שנדרשת מדיניות ענישה ושיקום מגדרית-רגישה (Gender-Responsive) (יוכט, 2019; פרישטוק, 2019).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bidi/>
        <w:spacing w:after="160" w:before="0" w:line="360"/>
        <w:jc w:val="both"/>
      </w:pPr>
      <w:r>
        <w:rPr>
          <w:rFonts w:ascii="David" w:cs="David" w:eastAsia="David" w:hAnsi="David"/>
          <w:sz w:val="24"/>
          <w:szCs w:val="24"/>
          <w:rtl/>
        </w:rPr>
        <w:t xml:space="preserve">עד כמה עמידה מסגרת ניתוח זו גם בתנאי קיצון מדגים מחקרה של קאר (2024), שניתחה את עדויותיה של יוליה בריכטה, יהודייה הונגרייה ששרדה את מחנה רוונסבריק כאסירה בעלת תפקיד ונחשדה לימים במעורבות בפגיעה באסירות. קאר מראה כיצד הנשים המעטות שהחזיקו במחנה בעמדות של "זכויות יתר" נשפטו פעמיים: פעם על מעשיהן ופעם על עצם חריגתן מהנורמות המצופות מנשים, וכיצד עדויותיהן נדחקו מן הזיכרון ההיסטורי. מסקנתה היא שדמותה של בריכטה חסינה מפני החלוקה הבינרית לקורבן או פושעת, לגיבורה או נבלה. המקרה ממחיש, בתנאים הקיצוניים ביותר שידעה ההיסטוריה, את שני היסודות שנדונו לכל אורך העבודה: טשטוש הגבול בין קורבן לעבריינית, והשיפוט המוסרי הכפול המופעל על נשים החורגות מתפקידן המגדרי.</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אדמצ'יק ועמיתיה (Adamczyk et al., 2017) ערכו סקירה שיטתית של עשרות רבות של מחקרים על הקשר שבין דת לעבריינות. התמונה המצרפית עקבית: רובם המכריע של המחקרים מוצא קשר שלילי בין דתיות לבין עבריינות וסטייה, והאפקט בולט במיוחד בעבירות סמים ואלכוהול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תיאוריית הכוח-שליטה: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שהקרימינולוגיה הפמיניסטית הרדיקלית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(בן יאיר, 2021; Ben Yair,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הסקירה השיטתית של אדמצ'יק ועמיתיה (Adamczyk et al., 2017)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מדוע נשים עוברות פחות עבירות מגברים וכיצד מסבירות זאת היהדות והקרימינולוגיה,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ברק-ארז, ד' (2023). שופטות ומתדיינות בתנ"ך: על מגדר וגישה לצדק. משפט וממשל, כה, 28-15.</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709" w:hanging="709"/>
        <w:jc w:val="right"/>
      </w:pPr>
      <w:r>
        <w:rPr>
          <w:rFonts w:ascii="David" w:cs="David" w:eastAsia="David" w:hAnsi="David"/>
          <w:sz w:val="24"/>
          <w:szCs w:val="24"/>
          <w:rtl/>
        </w:rPr>
        <w:t xml:space="preserve">קאר, ג' (2024). נרטיבים של התנגדות, פשרה מוסרית ופשיעה: העדויות של יוליה בריכטה, ניצולת רוונסבריק. דפים לחקר השואה, לו, 114-90.</w:t>
      </w:r>
    </w:p>
    <w:p>
      <w:pPr>
        <w:bidi w:val="false"/>
        <w:spacing w:after="160" w:line="360"/>
        <w:ind w:left="709" w:hanging="709"/>
        <w:jc w:val="left"/>
      </w:pPr>
      <w:r>
        <w:rPr>
          <w:rFonts w:ascii="Times New Roman" w:cs="Times New Roman" w:eastAsia="Times New Roman" w:hAnsi="Times New Roman"/>
          <w:sz w:val="24"/>
          <w:szCs w:val="24"/>
        </w:rPr>
        <w:t xml:space="preserve">Adamczyk, A., Freilich, J. D., &amp; Kim, C. (2017). Religion and crime: A systematic review and assessment of next steps. Sociology of Religion, 78(2), 192-232. https://doi.org/10.1093/socrel/srx012</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British Journal of Criminology, 56(6),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Child Indicators Research, 10(4),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Criminology, 55(4),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2026-08-19T08:56:23.354Z</dcterms:created>
  <dcterms:modified xsi:type="dcterms:W3CDTF">2026-08-19T08:56:23.355Z</dcterms:modified>
</cp:coreProperties>
</file>

<file path=docProps/custom.xml><?xml version="1.0" encoding="utf-8"?>
<Properties xmlns="http://schemas.openxmlformats.org/officeDocument/2006/custom-properties" xmlns:vt="http://schemas.openxmlformats.org/officeDocument/2006/docPropsVTypes"/>
</file>