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60"/>
        <w:jc w:val="both"/>
      </w:pPr>
      <w:r>
        <w:rPr>
          <w:rFonts w:ascii="David" w:hAnsi="David" w:cs="David"/>
          <w:b w:val="0"/>
          <w:i w:val="0"/>
          <w:sz w:val="24"/>
          <w:szCs w:val="24"/>
          <w:rtl w:val="1"/>
        </w:rPr>
        <w:t>הרובד הזה נבנה על פי עקרונות העולם החדש של הדוברות שנלמדו בקורס, שלפיהם כל מהלך תקשורתי מתחיל בהגדרה מדויקת של נקודת המוצא, המטרה, הקהל, העיתוי, השחקנים והמסרים, עוד לפני שנוגעים ביוזמות עצמן.</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ניתוח SWOT</w:t>
      </w:r>
    </w:p>
    <w:tbl>
      <w:tblPr>
        <w:tblStyle w:val="TableGrid"/>
        <w:bidiVisual/>
        <w:tblW w:type="auto" w:w="0"/>
        <w:jc w:val="right"/>
        <w:tblLook w:firstColumn="1" w:firstRow="1" w:lastColumn="0" w:lastRow="0" w:noHBand="0" w:noVBand="1" w:val="04A0"/>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היא יעד מוגדר וניתן למדידה. בתוך תקופת הקמפיין, מאוגוסט ועד סוף ספטמבר, אני רוצה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את ההתקדמות אמדוד בגידול במספר התורמים ובהיקף התרומות, בהיקף החשיפה התקשורתית ובמעורבות ברשתות, ובטון השיח הציבורי סביב הנושא.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 החלוקה הזאת נשענת על מה שנלמד בקורס, גם על המעבר מתקשורת מסורתית לרשתות החברתיות והשפעתן על הדוברות, וגם על פרק יחסי הדוברות מול התקשורת, שעסק בעבודה עם עיתונאים, בכתיבת הודעות לעיתונות ובארגון מסיבות עיתונאים.</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מודדת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ניהול משברים תקשורתיים היה אחד הנושאים המרכזיים בקורס, בפרק האסטרטגיות התקשורתיות בעידן הדיגיטלי, וכאן אני מיישמת אותו על מקרה קונקרטי של עמותת מרחב.</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bidiVisual/>
        <w:tblW w:type="auto" w:w="0"/>
        <w:jc w:val="right"/>
        <w:tblLook w:firstColumn="1" w:firstRow="1" w:lastColumn="0" w:lastRow="0" w:noHBand="0" w:noVBand="1" w:val="04A0"/>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