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color w:val="999999"/>
          <w:sz w:val="18"/>
        </w:rPr>
        <w:t>[ paste the official Ben-Gurion University logo here / הכניסו כאן את סמל האוניברסיטה ]</w:t>
      </w:r>
    </w:p>
    <w:p>
      <w:pPr>
        <w:spacing w:after="40"/>
        <w:jc w:val="center"/>
        <w:bidi/>
      </w:pPr>
      <w:r>
        <w:rPr>
          <w:b/>
          <w:color w:val="1B3A53"/>
          <w:sz w:val="28"/>
          <w:rtl w:val="1"/>
        </w:rPr>
        <w:t>אוניברסיטת בן-גוריון בנגב</w:t>
      </w:r>
    </w:p>
    <w:p>
      <w:pPr>
        <w:spacing w:after="40"/>
        <w:jc w:val="center"/>
        <w:bidi/>
      </w:pPr>
      <w:r>
        <w:rPr>
          <w:b w:val="0"/>
          <w:color w:val="1B3A53"/>
          <w:sz w:val="24"/>
          <w:rtl w:val="1"/>
        </w:rPr>
        <w:t>הפקולטה למדעי ההנדסה</w:t>
      </w:r>
    </w:p>
    <w:p>
      <w:pPr>
        <w:spacing w:after="160"/>
        <w:jc w:val="center"/>
        <w:bidi/>
      </w:pPr>
      <w:r>
        <w:rPr>
          <w:b w:val="0"/>
          <w:color w:val="1B3A53"/>
          <w:sz w:val="24"/>
          <w:rtl w:val="1"/>
        </w:rPr>
        <w:t>המחלקה להנדסה כימית</w:t>
      </w:r>
    </w:p>
    <w:p>
      <w:pPr>
        <w:spacing w:after="240"/>
        <w:jc w:val="center"/>
        <w:bidi/>
      </w:pPr>
      <w:r>
        <w:rPr>
          <w:b w:val="0"/>
          <w:color w:val="555555"/>
          <w:sz w:val="22"/>
          <w:rtl w:val="1"/>
        </w:rPr>
        <w:t>כימיה של המים בהנדסה כימית סביבתית</w:t>
      </w:r>
    </w:p>
    <w:p>
      <w:pPr>
        <w:jc w:val="center"/>
      </w:pPr>
      <w:r>
        <w:rPr>
          <w:b/>
          <w:color w:val="0D1B2A"/>
          <w:sz w:val="34"/>
        </w:rPr>
        <w:t>Modeling the Aquatic Carbonate System and Water Acidification</w:t>
      </w:r>
    </w:p>
    <w:p>
      <w:pPr>
        <w:jc w:val="center"/>
      </w:pPr>
      <w:r>
        <w:rPr>
          <w:i/>
          <w:color w:val="555555"/>
          <w:sz w:val="22"/>
        </w:rPr>
        <w:t>Water Chemistry course, Ben-Gurion University, Spring 2026</w:t>
      </w:r>
    </w:p>
    <w:p>
      <w:pPr>
        <w:jc w:val="center"/>
      </w:pPr>
      <w:r>
        <w:rPr>
          <w:sz w:val="21"/>
        </w:rPr>
        <w:t>Students:</w:t>
        <w:br/>
        <w:t>Shada Taha, 213700875, [email]</w:t>
        <w:br/>
        <w:t>Abdallah Awad, 213041486, [email]</w:t>
        <w:br/>
        <w:t>Lina Awad, 325348571, [email]</w:t>
        <w:br/>
        <w:t>Yasmin Nassar, 326486032, [email]</w:t>
        <w:br/>
        <w:t>Lecturer: Oded Nir</w:t>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 Alkalinity and hardness are reported both in meq/L and in the common “mg/L as CaCO₃” convention (multiply eq/L by 50,000 and mol/L by 100,000, respectively; e.g. 2 meq/L = 100 mg/L as CaCO₃).</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The model was validated against literature constants at 25 °C (pK₁ = 6.35, pK₂ = 10.33, pKₕ = 1.47, pKₛₚ = 8.48, A = 0.51).</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Include one figure per group member.</w:t>
      </w:r>
    </w:p>
    <w:p>
      <w:pPr>
        <w:jc w:val="center"/>
      </w:pPr>
      <w:r>
        <w:drawing>
          <wp:inline xmlns:a="http://schemas.openxmlformats.org/drawingml/2006/main" xmlns:pic="http://schemas.openxmlformats.org/drawingml/2006/picture">
            <wp:extent cx="4846320" cy="3096260"/>
            <wp:docPr id="1" name="Picture 1"/>
            <wp:cNvGraphicFramePr>
              <a:graphicFrameLocks noChangeAspect="1"/>
            </wp:cNvGraphicFramePr>
            <a:graphic>
              <a:graphicData uri="http://schemas.openxmlformats.org/drawingml/2006/picture">
                <pic:pic>
                  <pic:nvPicPr>
                    <pic:cNvPr id="0" name="fig1_speciation.png"/>
                    <pic:cNvPicPr/>
                  </pic:nvPicPr>
                  <pic:blipFill>
                    <a:blip r:embed="rId9"/>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2_acidific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3_calcite_SI.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5_ionic_strength.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