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8</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28</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4"/>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5"/>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6"/>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7"/>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8"/>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9"/>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0"/>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1"/>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2"/>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 [לוודא במהדורת לוב, 2004]. מקבילה ישירה למשל יד יש אצל מארי דה פראנס, בת דורו של ברכיה, במשל "על החמור שרצה לשחק עם אדוניו".</w:t>
      </w:r>
      <w:r>
        <w:rPr>
          <w:rStyle w:val="FootnoteReference"/>
        </w:rPr>
        <w:footnoteReference w:id="13"/>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4"/>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5"/>
      </w:r>
      <w:r>
        <w:rPr>
          <w:rFonts w:ascii="Times New Roman" w:cs="David" w:eastAsia="David" w:hAnsi="Times New Roman"/>
          <w:i w:val="false"/>
          <w:iCs w:val="false"/>
          <w:noProof/>
          <w:sz w:val="24"/>
          <w:szCs w:val="24"/>
          <w:rtl/>
          <w:lang w:val="en-US" w:bidi="he-IL"/>
        </w:rPr>
        <w:t xml:space="preserve"> הדימוי "חמור נושא ספרים" עבר מן הערבית לעברית ורווח בספרות המוסר של ימי הביניים ככינוי למי שלמד ולא הבין.</w:t>
      </w:r>
      <w:r>
        <w:rPr>
          <w:rStyle w:val="FootnoteReference"/>
        </w:rPr>
        <w:footnoteReference w:id="16"/>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17"/>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19"/>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ובמאה השתים עשרה, כשפרחו בצרפת ובאנגליה קובצי משלים בלטינית ובצרפתית עתיקה, כתב את קובץ המשלים שלו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0"/>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2"/>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3"/>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24"/>
      </w:r>
      <w:r>
        <w:rPr>
          <w:rFonts w:ascii="Times New Roman" w:cs="David" w:eastAsia="David" w:hAnsi="Times New Roman"/>
          <w:i w:val="false"/>
          <w:iCs w:val="false"/>
          <w:noProof/>
          <w:sz w:val="24"/>
          <w:szCs w:val="24"/>
          <w:rtl/>
          <w:lang w:val="en-US" w:bidi="he-IL"/>
        </w:rPr>
        <w:t xml:space="preserve"> משליו של ברכיה שייכים בבירור לסוג השני.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25"/>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26"/>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27"/>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28"/>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29"/>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w:t>
      </w:r>
      <w:r>
        <w:rPr>
          <w:rStyle w:val="FootnoteReference"/>
        </w:rPr>
        <w:footnoteReference w:id="30"/>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w:t>
      </w:r>
      <w:r>
        <w:rPr>
          <w:rFonts w:ascii="Times New Roman" w:cs="David" w:eastAsia="David" w:hAnsi="Times New Roman"/>
          <w:i w:val="false"/>
          <w:iCs w:val="false"/>
          <w:noProof/>
          <w:sz w:val="20"/>
          <w:szCs w:val="20"/>
          <w:rtl/>
          <w:lang w:val="en-US" w:bidi="he-IL"/>
        </w:rPr>
        <w:t xml:space="preserve">בפרק על ביות החמור ועל הממצא הארכיאולוגי [לוודא עמודים].</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w:t>
      </w:r>
      <w:r>
        <w:rPr>
          <w:rFonts w:ascii="Times New Roman" w:cs="David" w:eastAsia="David" w:hAnsi="Times New Roman"/>
          <w:i/>
          <w:iCs/>
          <w:noProof/>
          <w:sz w:val="20"/>
          <w:szCs w:val="20"/>
          <w:rtl w:val="false"/>
          <w:lang w:val="en-US" w:bidi="he-IL"/>
        </w:rPr>
        <w:t xml:space="preserve">Donkeys in the Biblical World</w:t>
      </w:r>
      <w:r>
        <w:rPr>
          <w:rFonts w:ascii="Times New Roman" w:cs="David" w:eastAsia="David" w:hAnsi="Times New Roman"/>
          <w:i w:val="false"/>
          <w:iCs w:val="false"/>
          <w:noProof/>
          <w:sz w:val="20"/>
          <w:szCs w:val="20"/>
          <w:rtl w:val="false"/>
          <w:lang w:val="en-US" w:bidi="he-IL"/>
        </w:rPr>
        <w:t xml:space="preserve">,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מספרי פרי, המפתח המקובל למשלי איזופוס, מובאים כפי שהם רשומים אצל </w:t>
      </w:r>
      <w:r>
        <w:rPr>
          <w:rFonts w:ascii="Times New Roman" w:cs="David" w:eastAsia="David" w:hAnsi="Times New Roman"/>
          <w:i w:val="false"/>
          <w:iCs w:val="false"/>
          <w:noProof/>
          <w:sz w:val="20"/>
          <w:szCs w:val="20"/>
          <w:rtl w:val="false"/>
          <w:lang w:val="en-US" w:bidi="he-IL"/>
        </w:rPr>
        <w:t xml:space="preserve">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כל משל. 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משלים יד ו-מז [לוודא עמודים];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35, שם מובא הסיפור לפי הנוסח העברי של רבי יעקב בן אלעזר ומהדורת דרנבורג.</w:t>
      </w:r>
    </w:p>
  </w:footnote>
  <w:footnote w:id="12">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המקבילה אצל מארי דה פראנס, משל 15, מובאת אצל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יד [לוודא].</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5">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1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את גלגולו של הביטוי בספרות העברית של ימי הביניים יש לבדוק; ראו לפי שעה יסיף, </w:t>
      </w:r>
      <w:r>
        <w:rPr>
          <w:rFonts w:ascii="Times New Roman" w:cs="David" w:eastAsia="David" w:hAnsi="Times New Roman"/>
          <w:i/>
          <w:iCs/>
          <w:noProof/>
          <w:sz w:val="20"/>
          <w:szCs w:val="20"/>
          <w:rtl/>
          <w:lang w:val="en-US" w:bidi="he-IL"/>
        </w:rPr>
        <w:t xml:space="preserve">סיפור העם העברי</w:t>
      </w:r>
      <w:r>
        <w:rPr>
          <w:rFonts w:ascii="Times New Roman" w:cs="David" w:eastAsia="David" w:hAnsi="Times New Roman"/>
          <w:i w:val="false"/>
          <w:iCs w:val="false"/>
          <w:noProof/>
          <w:sz w:val="20"/>
          <w:szCs w:val="20"/>
          <w:rtl/>
          <w:lang w:val="en-US" w:bidi="he-IL"/>
        </w:rPr>
        <w:t xml:space="preserve">, במפתח בערך "חמור" [לוודא].</w:t>
      </w:r>
    </w:p>
  </w:footnote>
  <w:footnote w:id="1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1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1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2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2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2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2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2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2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פדרוס א, יא (פרי 151), לפי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סה [לוודא עמודים].</w:t>
      </w:r>
    </w:p>
  </w:footnote>
  <w:footnote w:id="29">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 w:id="3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2026-09-21T14:30:25.967Z</dcterms:created>
  <dcterms:modified xsi:type="dcterms:W3CDTF">2026-09-21T14:30:25.967Z</dcterms:modified>
</cp:coreProperties>
</file>

<file path=docProps/custom.xml><?xml version="1.0" encoding="utf-8"?>
<Properties xmlns="http://schemas.openxmlformats.org/officeDocument/2006/custom-properties" xmlns:vt="http://schemas.openxmlformats.org/officeDocument/2006/docPropsVTypes"/>
</file>