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p>
    <w:p>
      <w:pPr>
        <w:bidi/>
        <w:spacing w:after="100" w:line="300"/>
        <w:jc w:val="center"/>
      </w:pPr>
      <w:r>
        <w:rPr>
          <w:rFonts w:ascii="David" w:cs="David" w:eastAsia="David" w:hAnsi="David"/>
          <w:b/>
          <w:bCs/>
          <w:sz w:val="32"/>
          <w:szCs w:val="32"/>
          <w:rtl/>
        </w:rPr>
        <w:t xml:space="preserve">המרכז האקדמי פרס</w:t>
      </w:r>
    </w:p>
    <w:p>
      <w:pPr>
        <w:bidi/>
        <w:spacing w:after="420" w:line="300"/>
        <w:jc w:val="center"/>
      </w:pPr>
      <w:r>
        <w:rPr>
          <w:rFonts w:ascii="David" w:cs="David" w:eastAsia="David" w:hAnsi="David"/>
          <w:b w:val="false"/>
          <w:bCs w:val="false"/>
          <w:sz w:val="26"/>
          <w:szCs w:val="26"/>
          <w:rtl/>
        </w:rPr>
        <w:t xml:space="preserve">התכנית לייעוץ ופיתוח ארגוני, תואר שני (M.A.)</w:t>
      </w:r>
    </w:p>
    <w:p>
      <w:pPr>
        <w:bidi/>
        <w:spacing w:after="80" w:line="300"/>
        <w:jc w:val="center"/>
      </w:pPr>
      <w:r>
        <w:rPr>
          <w:rFonts w:ascii="David" w:cs="David" w:eastAsia="David" w:hAnsi="David"/>
          <w:b w:val="false"/>
          <w:bCs w:val="false"/>
          <w:sz w:val="24"/>
          <w:szCs w:val="24"/>
          <w:rtl/>
        </w:rPr>
        <w:t xml:space="preserve">שיפור ארגונים באמצעות אבחון והתערבות – סדנה (3098)</w:t>
      </w:r>
    </w:p>
    <w:p>
      <w:pPr>
        <w:bidi/>
        <w:spacing w:after="80" w:line="300"/>
        <w:jc w:val="center"/>
      </w:pPr>
      <w:r>
        <w:rPr>
          <w:rFonts w:ascii="David" w:cs="David" w:eastAsia="David" w:hAnsi="David"/>
          <w:b w:val="false"/>
          <w:bCs w:val="false"/>
          <w:sz w:val="24"/>
          <w:szCs w:val="24"/>
          <w:rtl/>
        </w:rPr>
        <w:t xml:space="preserve">מרצה: ד"ר תמי אמבר</w:t>
      </w:r>
    </w:p>
    <w:p>
      <w:pPr>
        <w:bidi/>
        <w:spacing w:after="500" w:line="300"/>
        <w:jc w:val="center"/>
      </w:pPr>
      <w:r>
        <w:rPr>
          <w:rFonts w:ascii="David" w:cs="David" w:eastAsia="David" w:hAnsi="David"/>
          <w:b w:val="false"/>
          <w:bCs w:val="false"/>
          <w:sz w:val="24"/>
          <w:szCs w:val="24"/>
          <w:rtl/>
        </w:rPr>
        <w:t xml:space="preserve">תשפ"ו, סמסטר ב'</w:t>
      </w:r>
    </w:p>
    <w:p>
      <w:pPr>
        <w:bidi/>
        <w:spacing w:after="200" w:line="300"/>
        <w:jc w:val="center"/>
      </w:pPr>
      <w:r>
        <w:rPr>
          <w:rFonts w:ascii="David" w:cs="David" w:eastAsia="David" w:hAnsi="David"/>
          <w:b/>
          <w:bCs/>
          <w:sz w:val="24"/>
          <w:szCs w:val="24"/>
          <w:rtl/>
        </w:rPr>
        <w:t xml:space="preserve">מטלה אישית מסכמת</w:t>
      </w:r>
    </w:p>
    <w:p>
      <w:pPr>
        <w:bidi/>
        <w:spacing w:after="60" w:line="300"/>
        <w:jc w:val="center"/>
      </w:pPr>
      <w:r>
        <w:rPr>
          <w:rFonts w:ascii="David" w:cs="David" w:eastAsia="David" w:hAnsi="David"/>
          <w:b/>
          <w:bCs/>
          <w:sz w:val="36"/>
          <w:szCs w:val="36"/>
          <w:rtl/>
        </w:rPr>
        <w:t xml:space="preserve">מ"בגרות לכולם" ל"חמש יחידות לרבים"</w:t>
      </w:r>
    </w:p>
    <w:p>
      <w:pPr>
        <w:bidi/>
        <w:spacing w:after="40" w:line="300"/>
        <w:jc w:val="center"/>
      </w:pPr>
      <w:r>
        <w:rPr>
          <w:rFonts w:ascii="David" w:cs="David" w:eastAsia="David" w:hAnsi="David"/>
          <w:b/>
          <w:bCs/>
          <w:sz w:val="28"/>
          <w:szCs w:val="28"/>
          <w:rtl/>
        </w:rPr>
        <w:t xml:space="preserve">אבחון ותכנון התערבות בתיכון דרכא למדעים ואמנויות</w:t>
      </w:r>
    </w:p>
    <w:p>
      <w:pPr>
        <w:bidi/>
        <w:spacing w:after="420" w:line="300"/>
        <w:jc w:val="center"/>
      </w:pPr>
      <w:r>
        <w:rPr>
          <w:rFonts w:ascii="David" w:cs="David" w:eastAsia="David" w:hAnsi="David"/>
          <w:b/>
          <w:bCs/>
          <w:sz w:val="28"/>
          <w:szCs w:val="28"/>
          <w:rtl/>
        </w:rPr>
        <w:t xml:space="preserve">ע"ש מקסים לוי, לוד</w:t>
      </w:r>
    </w:p>
    <w:p>
      <w:pPr>
        <w:bidi/>
        <w:spacing w:after="60" w:line="300"/>
        <w:jc w:val="center"/>
      </w:pPr>
      <w:r>
        <w:rPr>
          <w:rFonts w:ascii="David" w:cs="David" w:eastAsia="David" w:hAnsi="David"/>
          <w:i/>
          <w:iCs/>
          <w:sz w:val="22"/>
          <w:szCs w:val="22"/>
          <w:rtl/>
        </w:rPr>
        <w:t xml:space="preserve">העבודה נבנתה על פי המודל המארגן של הקורס, מודל מחקר הפעולה והייעוץ מבוסס הנתונים:</w:t>
      </w:r>
    </w:p>
    <w:p>
      <w:pPr>
        <w:bidi/>
        <w:spacing w:after="40" w:line="300"/>
        <w:jc w:val="center"/>
      </w:pPr>
      <w:r>
        <w:rPr>
          <w:rFonts w:ascii="David" w:cs="David" w:eastAsia="David" w:hAnsi="David"/>
          <w:b w:val="false"/>
          <w:bCs w:val="false"/>
          <w:sz w:val="22"/>
          <w:szCs w:val="22"/>
          <w:rtl/>
        </w:rPr>
        <w:t xml:space="preserve">כניסה ומסגור ← גיבוש מסגרת אבחונית ← איסוף וניתוח נתונים ←</w:t>
      </w:r>
    </w:p>
    <w:p>
      <w:pPr>
        <w:bidi/>
        <w:spacing w:after="60" w:line="300"/>
        <w:jc w:val="center"/>
      </w:pPr>
      <w:r>
        <w:rPr>
          <w:rFonts w:ascii="David" w:cs="David" w:eastAsia="David" w:hAnsi="David"/>
          <w:b w:val="false"/>
          <w:bCs w:val="false"/>
          <w:sz w:val="22"/>
          <w:szCs w:val="22"/>
          <w:rtl/>
        </w:rPr>
        <w:t xml:space="preserve">גיבוש חלופות להתערבות ← תכנון יישום ← בחינת אפקטיביות והשפעה</w:t>
      </w:r>
    </w:p>
    <w:p>
      <w:pPr>
        <w:bidi/>
        <w:spacing w:after="420" w:line="300"/>
        <w:jc w:val="center"/>
      </w:pPr>
      <w:r>
        <w:rPr>
          <w:rFonts w:ascii="David" w:cs="David" w:eastAsia="David" w:hAnsi="David"/>
          <w:i/>
          <w:iCs/>
          <w:sz w:val="22"/>
          <w:szCs w:val="22"/>
          <w:rtl/>
        </w:rPr>
        <w:t xml:space="preserve">(אמבר, 2026; </w:t>
      </w:r>
      <w:r>
        <w:rPr>
          <w:rFonts w:ascii="Times New Roman" w:cs="Times New Roman" w:eastAsia="Times New Roman" w:hAnsi="Times New Roman"/>
          <w:i/>
          <w:iCs/>
          <w:sz w:val="22"/>
          <w:szCs w:val="22"/>
        </w:rPr>
        <w:t xml:space="preserve">Cummings, 2019</w:t>
      </w:r>
      <w:r>
        <w:rPr>
          <w:rFonts w:ascii="David" w:cs="David" w:eastAsia="David" w:hAnsi="David"/>
          <w:i/>
          <w:iCs/>
          <w:sz w:val="22"/>
          <w:szCs w:val="22"/>
          <w:rtl/>
        </w:rPr>
        <w:t xml:space="preserve">)</w:t>
      </w:r>
    </w:p>
    <w:p>
      <w:pPr>
        <w:bidi/>
        <w:spacing w:after="100" w:line="300"/>
        <w:jc w:val="center"/>
      </w:pPr>
      <w:r>
        <w:rPr>
          <w:rFonts w:ascii="David" w:cs="David" w:eastAsia="David" w:hAnsi="David"/>
          <w:b w:val="false"/>
          <w:bCs w:val="false"/>
          <w:sz w:val="24"/>
          <w:szCs w:val="24"/>
          <w:rtl/>
        </w:rPr>
        <w:t xml:space="preserve">מגיש/ה: ________________________</w:t>
      </w:r>
    </w:p>
    <w:p>
      <w:pPr>
        <w:bidi/>
        <w:spacing w:after="340" w:line="300"/>
        <w:jc w:val="center"/>
      </w:pPr>
      <w:r>
        <w:rPr>
          <w:rFonts w:ascii="David" w:cs="David" w:eastAsia="David" w:hAnsi="David"/>
          <w:b w:val="false"/>
          <w:bCs w:val="false"/>
          <w:sz w:val="24"/>
          <w:szCs w:val="24"/>
          <w:rtl/>
        </w:rPr>
        <w:t xml:space="preserve">ת"ז: ________________________</w:t>
      </w:r>
    </w:p>
    <w:p>
      <w:pPr>
        <w:bidi/>
        <w:spacing w:after="0" w:line="300"/>
        <w:jc w:val="center"/>
      </w:pPr>
      <w:r>
        <w:rPr>
          <w:rFonts w:ascii="David" w:cs="David" w:eastAsia="David" w:hAnsi="David"/>
          <w:b w:val="false"/>
          <w:bCs w:val="false"/>
          <w:sz w:val="24"/>
          <w:szCs w:val="24"/>
          <w:rtl/>
        </w:rPr>
        <w:t xml:space="preserve">אב תשפ"ו, אוגוסט 2026</w:t>
      </w:r>
    </w:p>
    <w:p>
      <w:r>
        <w:br w:type="page"/>
      </w:r>
    </w:p>
    <w:p>
      <w:pPr>
        <w:bidi/>
        <w:spacing w:after="200" w:before="0" w:line="360"/>
        <w:jc w:val="right"/>
      </w:pPr>
      <w:r>
        <w:rPr>
          <w:rFonts w:ascii="David" w:cs="David" w:eastAsia="David" w:hAnsi="David"/>
          <w:b/>
          <w:bCs/>
          <w:sz w:val="30"/>
          <w:szCs w:val="30"/>
          <w:rtl/>
        </w:rPr>
        <w:t xml:space="preserve">תוכן עניינים</w:t>
      </w:r>
    </w:p>
    <w:tbl>
      <w:tblPr>
        <w:bidiVisual/>
        <w:tblW w:type="dxa" w:w="9060"/>
        <w:tblBorders>
          <w:top w:val="single" w:color="8496B0" w:sz="4"/>
          <w:left w:val="single" w:color="8496B0" w:sz="4"/>
          <w:bottom w:val="single" w:color="8496B0" w:sz="4"/>
          <w:right w:val="single" w:color="8496B0" w:sz="4"/>
          <w:insideH w:val="single" w:color="B4C6E7" w:sz="2"/>
          <w:insideV w:val="single" w:color="B4C6E7" w:sz="2"/>
        </w:tblBorders>
      </w:tblPr>
      <w:tblGrid>
        <w:gridCol w:w="7260"/>
        <w:gridCol w:w="1800"/>
      </w:tblGrid>
      <w:tr>
        <w:trPr>
          <w:tblHeader/>
        </w:trPr>
        <w:tc>
          <w:tcPr>
            <w:tcW w:type="dxa" w:w="726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פרק</w:t>
            </w:r>
          </w:p>
        </w:tc>
        <w:tc>
          <w:tcPr>
            <w:tcW w:type="dxa" w:w="18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עמוד</w:t>
            </w:r>
          </w:p>
        </w:tc>
      </w:tr>
      <w:tr>
        <w:tc>
          <w:tcPr>
            <w:tcW w:type="dxa" w:w="726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מבוא: רקע על הארגון וזיהוי תחום הדורש אבחון ושיפור</w:t>
            </w:r>
          </w:p>
        </w:tc>
        <w:tc>
          <w:tcPr>
            <w:tcW w:type="dxa" w:w="18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3</w:t>
            </w:r>
          </w:p>
        </w:tc>
      </w:tr>
      <w:tr>
        <w:tc>
          <w:tcPr>
            <w:tcW w:type="dxa" w:w="726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פרק א': כניסה ומסגור – ניתוח סיבות שורש וניתוח בעלי עניין</w:t>
            </w:r>
          </w:p>
        </w:tc>
        <w:tc>
          <w:tcPr>
            <w:tcW w:type="dxa" w:w="18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5</w:t>
            </w:r>
          </w:p>
        </w:tc>
      </w:tr>
      <w:tr>
        <w:tc>
          <w:tcPr>
            <w:tcW w:type="dxa" w:w="726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פרק ב': גיבוש מסגרת אבחונית – מודל אבחון ותוכנית מדידה</w:t>
            </w:r>
          </w:p>
        </w:tc>
        <w:tc>
          <w:tcPr>
            <w:tcW w:type="dxa" w:w="18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9</w:t>
            </w:r>
          </w:p>
        </w:tc>
      </w:tr>
      <w:tr>
        <w:tc>
          <w:tcPr>
            <w:tcW w:type="dxa" w:w="726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פרק ג': הגדרת מטרות ההתערבות ותכנון חלופות</w:t>
            </w:r>
          </w:p>
        </w:tc>
        <w:tc>
          <w:tcPr>
            <w:tcW w:type="dxa" w:w="18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12</w:t>
            </w:r>
          </w:p>
        </w:tc>
      </w:tr>
      <w:tr>
        <w:tc>
          <w:tcPr>
            <w:tcW w:type="dxa" w:w="726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פרק ד': תכנון אופרטיבי של ההתערבות הנבחרת – "מנוף חמש"</w:t>
            </w:r>
          </w:p>
        </w:tc>
        <w:tc>
          <w:tcPr>
            <w:tcW w:type="dxa" w:w="18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15</w:t>
            </w:r>
          </w:p>
        </w:tc>
      </w:tr>
      <w:tr>
        <w:tc>
          <w:tcPr>
            <w:tcW w:type="dxa" w:w="726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רשימת מקורות</w:t>
            </w:r>
          </w:p>
        </w:tc>
        <w:tc>
          <w:tcPr>
            <w:tcW w:type="dxa" w:w="18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21</w:t>
            </w:r>
          </w:p>
        </w:tc>
      </w:tr>
    </w:tbl>
    <w:p>
      <w:r>
        <w:br w:type="page"/>
      </w:r>
    </w:p>
    <w:p>
      <w:pPr>
        <w:bidi/>
        <w:spacing w:after="200" w:before="0" w:line="360"/>
        <w:jc w:val="right"/>
      </w:pPr>
      <w:r>
        <w:rPr>
          <w:rFonts w:ascii="David" w:cs="David" w:eastAsia="David" w:hAnsi="David"/>
          <w:b/>
          <w:bCs/>
          <w:sz w:val="30"/>
          <w:szCs w:val="30"/>
          <w:rtl/>
        </w:rPr>
        <w:t xml:space="preserve">מבוא: רקע על הארגון וזיהוי תחום הדורש אבחון ושיפור</w:t>
      </w:r>
    </w:p>
    <w:p>
      <w:pPr>
        <w:bidi/>
        <w:spacing w:after="120" w:before="240" w:line="360"/>
        <w:jc w:val="right"/>
      </w:pPr>
      <w:r>
        <w:rPr>
          <w:rFonts w:ascii="David" w:cs="David" w:eastAsia="David" w:hAnsi="David"/>
          <w:b/>
          <w:bCs/>
          <w:sz w:val="26"/>
          <w:szCs w:val="26"/>
          <w:rtl/>
        </w:rPr>
        <w:t xml:space="preserve">הארגון הנבחר</w:t>
      </w:r>
    </w:p>
    <w:p>
      <w:pPr>
        <w:bidi/>
        <w:spacing w:after="120" w:line="360"/>
        <w:jc w:val="both"/>
      </w:pPr>
      <w:r>
        <w:rPr>
          <w:rFonts w:ascii="David" w:cs="David" w:eastAsia="David" w:hAnsi="David"/>
          <w:sz w:val="24"/>
          <w:szCs w:val="24"/>
          <w:rtl/>
        </w:rPr>
        <w:t xml:space="preserve">הארגון שנבחר לעבודה זו הוא תיכון דרכא למדעים ואמנויות ע"ש מקסים לוי בלוד, בית ספר על-יסודי בשכבות ט' עד י"ב, ברחוב אהרון לובלין 16. בית הספר נוסד בשנת 2000 ולומדים בו כ-516 תלמידים, 219 בנים ו-297 בנות, בסגל של כ-62 מורים. כמחצית מאנשי הסגל מחזיקים בתואר שני ומעלה, שיעור הגבוה מן הממוצע העירוני בלוד (44.6%) ומן הממוצע הארצי (43.6%) (מדלן, 2026).</w:t>
      </w:r>
    </w:p>
    <w:p>
      <w:pPr>
        <w:bidi/>
        <w:spacing w:after="120" w:line="360"/>
        <w:jc w:val="both"/>
      </w:pPr>
      <w:r>
        <w:rPr>
          <w:rFonts w:ascii="David" w:cs="David" w:eastAsia="David" w:hAnsi="David"/>
          <w:sz w:val="24"/>
          <w:szCs w:val="24"/>
          <w:rtl/>
        </w:rPr>
        <w:t xml:space="preserve">בית הספר משתייך לרשת דרכא, רשת בתי ספר על-יסודיים שהוקמה בשנת 2011 ביוזמת קרן רש"י בשותפות עם כי"ח וקרנות נוספות, ומפעילה כיום עשרות בתי ספר ומרכזי למידה. הרשת פועלת בעיקר ביישובי הפריפריה החברתית והגאוגרפית, ומגדירה לעצמה מטרה של צמצום פערים במערכת החינוך בשני אפיקים: פיתוח מקצועי של מנהלים ומורים מצד אחד, והזרמת משאבים המרחיבים את מרחב ההזדמנויות של התלמידים מצד שני (רשת דרכא, 2026).</w:t>
      </w:r>
    </w:p>
    <w:p>
      <w:pPr>
        <w:bidi/>
        <w:spacing w:after="120" w:line="360"/>
        <w:jc w:val="both"/>
      </w:pPr>
      <w:r>
        <w:rPr>
          <w:rFonts w:ascii="David" w:cs="David" w:eastAsia="David" w:hAnsi="David"/>
          <w:sz w:val="24"/>
          <w:szCs w:val="24"/>
          <w:rtl/>
        </w:rPr>
        <w:t xml:space="preserve">ההקשר שבו פועל בית הספר רלוונטי לניתוח. לוד היא עיר מעורבת בעלת מדד חברתי-כלכלי בינוני-נמוך, שבה פועלים בתי ספר רבים בתחרות על אותם תלמידים. בתוך הקשר זה, בית הספר נחשב לסיפור הצלחה מקומי: הוא זכה בפרס חינוך מחוזי על הישגיו הפדגוגיים וכתיכון מוביל בהישגים ובמצוינות, ועל קידום סובלנות, מעורבות חברתית וחינוך לערכים דמוקרטיים (רשת דרכא, 2026).</w:t>
      </w:r>
    </w:p>
    <w:p>
      <w:pPr>
        <w:bidi/>
        <w:spacing w:after="120" w:before="240" w:line="360"/>
        <w:jc w:val="right"/>
      </w:pPr>
      <w:r>
        <w:rPr>
          <w:rFonts w:ascii="David" w:cs="David" w:eastAsia="David" w:hAnsi="David"/>
          <w:b/>
          <w:bCs/>
          <w:sz w:val="26"/>
          <w:szCs w:val="26"/>
          <w:rtl/>
        </w:rPr>
        <w:t xml:space="preserve">תמונת ההישגים</w:t>
      </w:r>
    </w:p>
    <w:p>
      <w:pPr>
        <w:bidi/>
        <w:spacing w:after="120" w:line="360"/>
        <w:jc w:val="both"/>
      </w:pPr>
      <w:r>
        <w:rPr>
          <w:rFonts w:ascii="David" w:cs="David" w:eastAsia="David" w:hAnsi="David"/>
          <w:sz w:val="24"/>
          <w:szCs w:val="24"/>
          <w:rtl/>
        </w:rPr>
        <w:t xml:space="preserve">הנתונים הפומביים על בית הספר מציירים תמונה של מוסד חזק. שיעור הזכאות לתעודת בגרות עומד על 91.5%, לעומת 76.5% בממוצע העירוני ו-76.3% בממוצע הארצי. שיעור ההצטיינות בבגרות עומד על 79.1%, פי חמישה ויותר מן הממוצע העירוני (14.2%) ומן הממוצע הארצי (12.4%). שיעור הנשירה נמוך במיוחד ועומד על 0.4%, ובבית הספר פועלות שלוש תוכניות למחוננים לעומת תוכנית אחת בממוצע העירוני והארצי. ציון בית הספר במדד החינוך של מדלן הוא 72, לעומת 63 בממוצע העירוני ו-65 בממוצע הארצי (מדלן, 2026).</w:t>
      </w:r>
    </w:p>
    <w:p>
      <w:pPr>
        <w:bidi/>
        <w:spacing w:after="120" w:line="360"/>
        <w:jc w:val="both"/>
      </w:pPr>
      <w:r>
        <w:rPr>
          <w:rFonts w:ascii="David" w:cs="David" w:eastAsia="David" w:hAnsi="David"/>
          <w:sz w:val="24"/>
          <w:szCs w:val="24"/>
          <w:rtl/>
        </w:rPr>
        <w:t xml:space="preserve">גם בתמונת המקצועות המורחבים יש עדות ליכולת. באנגלית 5 יחידות שיעור הזכאות הוא 49.2% בציון ממוצע 87.24, וב-4 יחידות 34.6% בציון ממוצע 73.58. במקצועות ההומניים הציונים הממוצעים נעים סביב 70 עד 78, בספרות 77.84 ובתנ"ך 75.64 (מדלן, 2026).</w:t>
      </w:r>
    </w:p>
    <w:p>
      <w:pPr>
        <w:bidi/>
        <w:spacing w:after="120" w:before="240" w:line="360"/>
        <w:jc w:val="right"/>
      </w:pPr>
      <w:r>
        <w:rPr>
          <w:rFonts w:ascii="David" w:cs="David" w:eastAsia="David" w:hAnsi="David"/>
          <w:b/>
          <w:bCs/>
          <w:sz w:val="26"/>
          <w:szCs w:val="26"/>
          <w:rtl/>
        </w:rPr>
        <w:t xml:space="preserve">מקורות המידע</w:t>
      </w:r>
    </w:p>
    <w:p>
      <w:pPr>
        <w:bidi/>
        <w:spacing w:after="120" w:line="360"/>
        <w:jc w:val="both"/>
      </w:pPr>
      <w:r>
        <w:rPr>
          <w:rFonts w:ascii="David" w:cs="David" w:eastAsia="David" w:hAnsi="David"/>
          <w:sz w:val="24"/>
          <w:szCs w:val="24"/>
          <w:rtl/>
        </w:rPr>
        <w:t xml:space="preserve">העבודה מתבססת על מקורות גלויים בלבד, ללא כניסה לארגון וללא איסוף נתונים. המקורות המרכזיים הם: פרופיל בית הספר במדד החינוך של מדלן, המרכז נתוני משרד החינוך ברמת המוסד; אתר רשת דרכא ודף בית הספר בו; ודוח מדד בגרות הייטק של קרן טראמפ ורשת ערי מצוינות, המספק את ההקשר הארצי. הקישורים המלאים מופיעים ברשימת המקורות. בהיעדר מקורות פנימיים, כל טענה על מנגנונים פנים-ארגוניים מוצגת בעבודה זו כהשערה מנומקת ולא כממצא.</w:t>
      </w:r>
    </w:p>
    <w:p>
      <w:pPr>
        <w:bidi/>
        <w:spacing w:after="120" w:before="240" w:line="360"/>
        <w:jc w:val="right"/>
      </w:pPr>
      <w:r>
        <w:rPr>
          <w:rFonts w:ascii="David" w:cs="David" w:eastAsia="David" w:hAnsi="David"/>
          <w:b/>
          <w:bCs/>
          <w:sz w:val="26"/>
          <w:szCs w:val="26"/>
          <w:rtl/>
        </w:rPr>
        <w:t xml:space="preserve">זיהוי הסוגייה הארגונית</w:t>
      </w:r>
    </w:p>
    <w:p>
      <w:pPr>
        <w:bidi/>
        <w:spacing w:after="120" w:line="360"/>
        <w:jc w:val="both"/>
      </w:pPr>
      <w:r>
        <w:rPr>
          <w:rFonts w:ascii="David" w:cs="David" w:eastAsia="David" w:hAnsi="David"/>
          <w:sz w:val="24"/>
          <w:szCs w:val="24"/>
          <w:rtl/>
        </w:rPr>
        <w:t xml:space="preserve">לצד תמונת ההישגים עולה מן הנתונים פער חד ועקבי. בעוד 49.2% מתלמידי בית הספר ניגשים לבגרות באנגלית ברמת 5 יחידות, רק 8.5% ניגשים למתמטיקה ברמת 5 יחידות, בציון ממוצע 70.82. שיעור בגרות ההייטק בבית הספר עומד על 4.3%, לעומת 10.5% בממוצע העירוני ו-10.9% בממוצע הארצי (מדלן, 2026). כלומר, במדד היחיד שנוגע לעומק ההישג המדעי-טכנולוגי, בית הספר שמצטיין כמעט בכל מדד אחר נמצא בפחות ממחצית הממוצע הארצי.</w:t>
      </w:r>
    </w:p>
    <w:p>
      <w:pPr>
        <w:bidi/>
        <w:spacing w:after="120" w:line="360"/>
        <w:jc w:val="both"/>
      </w:pPr>
      <w:r>
        <w:rPr>
          <w:rFonts w:ascii="David" w:cs="David" w:eastAsia="David" w:hAnsi="David"/>
          <w:sz w:val="24"/>
          <w:szCs w:val="24"/>
          <w:rtl/>
        </w:rPr>
        <w:t xml:space="preserve">הפער הזה מקבל משמעות נוספת לאור שמו והגדרתו של בית הספר, שמכריז על עצמו כתיכון "למדעים ואמנויות". מדובר אפוא בפער בין זהות מוצהרת לבין תפוקה בפועל: הזהות המדעית מופיעה בשם, בחזון ובמיתוג, אך אינה מתורגמת לשיעור התלמידים המסיימים את המסלול המדעי-טכנולוגי המורחב. הסוגייה הארגונית שנבחרה לעבודה זו היא, לפיכך, הפער בין מצוינות רוחבית לבין מצוינות מדעית בעומק, ובאופן ממוקד: השיעור הנמוך של תלמידים המסיימים 5 יחידות מתמטיקה ובגרות הייטק, בבית ספר שהוכיח יכולת להוביל תלמידים להישגים גבוהים בכל שאר המדדים.</w:t>
      </w:r>
    </w:p>
    <w:p>
      <w:pPr>
        <w:bidi/>
        <w:spacing w:after="120" w:before="240" w:line="360"/>
        <w:jc w:val="right"/>
      </w:pPr>
      <w:r>
        <w:rPr>
          <w:rFonts w:ascii="David" w:cs="David" w:eastAsia="David" w:hAnsi="David"/>
          <w:b/>
          <w:bCs/>
          <w:sz w:val="26"/>
          <w:szCs w:val="26"/>
          <w:rtl/>
        </w:rPr>
        <w:t xml:space="preserve">ההצדקה לבחירת הסוגייה</w:t>
      </w:r>
    </w:p>
    <w:p>
      <w:pPr>
        <w:bidi/>
        <w:spacing w:after="120" w:line="360"/>
        <w:jc w:val="both"/>
      </w:pPr>
      <w:r>
        <w:rPr>
          <w:rFonts w:ascii="David" w:cs="David" w:eastAsia="David" w:hAnsi="David"/>
          <w:sz w:val="24"/>
          <w:szCs w:val="24"/>
          <w:rtl/>
        </w:rPr>
        <w:t xml:space="preserve">שלוש הצדקות תומכות בבחירה זו. הראשונה נעוצה בנתונים עצמם. הפער בין 49.2% באנגלית מורחבת לבין 8.5% במתמטיקה מורחבת אינו מוסבר ביכולת התלמידים או ברקע החברתי-כלכלי, שכן שני המדדים חלים על אותה אוכלוסייה בדיוק. אוכלוסייה שמסוגלת לייצר כמעט מחצית מחזור בעלת 5 יחידות אנגלית בציון ממוצע 87 אינה אוכלוסייה שאפשר לומר עליה שאין בה חומר גלם למתמטיקה מורחבת. הפער מצביע אפוא על גורם ארגוני ולא על גורם דמוגרפי, וזו בדיוק סוגייה שאבחון ארגוני יכול לטפל בה.</w:t>
      </w:r>
    </w:p>
    <w:p>
      <w:pPr>
        <w:bidi/>
        <w:spacing w:after="120" w:line="360"/>
        <w:jc w:val="both"/>
      </w:pPr>
      <w:r>
        <w:rPr>
          <w:rFonts w:ascii="David" w:cs="David" w:eastAsia="David" w:hAnsi="David"/>
          <w:sz w:val="24"/>
          <w:szCs w:val="24"/>
          <w:rtl/>
        </w:rPr>
        <w:t xml:space="preserve">ההצדקה השנייה נוגעת לחשיבות הלאומית של הנושא ולעדכניותו. מדד בגרות ההייטק, המוגדר כשילוב של 5 יחידות מתמטיקה, 5 יחידות אנגלית ומקצוע מדעי-טכנולוגי מורחב, נמצא כמנבא הטוב ביותר להשתלבות בתעשיית ההייטק הישראלית, משום שרוב עובדי הענף למדו את הצירוף הזה. בדוח האחרון נרשמה ירידה בשיעור הזכאים לבגרות הייטק ברמה הארצית, מ-11.3% ל-11%, ירידה ראשונה מזה למעלה מעשור (קרן טראמפ ורשת ערי מצוינות, 2026). מגמה דומה נרשמה גם בזכאות ל-5 יחידות מתמטיקה, שירדה שנה שנייה ברציפות (דה מרקר, 2025). הסוגייה שנבחרה נמצאת אפוא במרכז סדר היום החינוכי והכלכלי בישראל, ובית ספר שנמצא בפחות ממחצית הממוצע הארצי משלם על כך מחיר ישיר במונחי הזדמנויות בוגריו.</w:t>
      </w:r>
    </w:p>
    <w:p>
      <w:pPr>
        <w:bidi/>
        <w:spacing w:after="120" w:line="360"/>
        <w:jc w:val="both"/>
      </w:pPr>
      <w:r>
        <w:rPr>
          <w:rFonts w:ascii="David" w:cs="David" w:eastAsia="David" w:hAnsi="David"/>
          <w:sz w:val="24"/>
          <w:szCs w:val="24"/>
          <w:rtl/>
        </w:rPr>
        <w:t xml:space="preserve">ההצדקה השלישית היא היתכנות. בית ספר שבו 91.5% זכאות ו-79.1% הצטיינות הוא ארגון שיודע להוביל תלמידים לקו הסיום. הבעיה אינה חוסר יכולת ארגונית אלא, כפי שיטען פרק א', כיוון שאליו מופנית היכולת הזו. ארגון כזה הוא מועמד טוב להתערבות, משום שהמשאב החסר אינו מסוגלות אלא מיקוד.</w:t>
      </w:r>
    </w:p>
    <w:p>
      <w:r>
        <w:br w:type="page"/>
      </w:r>
    </w:p>
    <w:p>
      <w:pPr>
        <w:bidi/>
        <w:spacing w:after="200" w:before="0" w:line="360"/>
        <w:jc w:val="right"/>
      </w:pPr>
      <w:r>
        <w:rPr>
          <w:rFonts w:ascii="David" w:cs="David" w:eastAsia="David" w:hAnsi="David"/>
          <w:b/>
          <w:bCs/>
          <w:sz w:val="30"/>
          <w:szCs w:val="30"/>
          <w:rtl/>
        </w:rPr>
        <w:t xml:space="preserve">פרק א': כניסה ומסגור</w:t>
      </w:r>
    </w:p>
    <w:p>
      <w:pPr>
        <w:bidi/>
        <w:spacing w:after="120" w:line="360"/>
        <w:jc w:val="both"/>
      </w:pPr>
      <w:r>
        <w:rPr>
          <w:rFonts w:ascii="David" w:cs="David" w:eastAsia="David" w:hAnsi="David"/>
          <w:sz w:val="24"/>
          <w:szCs w:val="24"/>
          <w:rtl/>
        </w:rPr>
        <w:t xml:space="preserve">פרק זה מציג את שני התוצרים של שלב הכניסה והמסגור במודל המארגן של הקורס: ניתוח סיבות שורש באמצעות תרשים אישיקאווה, וניתוח בעלי עניין. שני הניתוחים נעשו על בסיס המידע הגלוי שהוצג במבוא ועל בסיס היכרות כללית עם מבנה העבודה בבתי ספר על-יסודיים בישראל. מאחר שלא בוצעה כניסה לארגון, הגורמים המוצגים כאן הם גורמים פוטנציאליים והשערות מנומקות, והם המצע שעליו נבנית תוכנית המדידה בפרק ב'.</w:t>
      </w:r>
    </w:p>
    <w:p>
      <w:pPr>
        <w:bidi/>
        <w:spacing w:after="120" w:before="240" w:line="360"/>
        <w:jc w:val="right"/>
      </w:pPr>
      <w:r>
        <w:rPr>
          <w:rFonts w:ascii="David" w:cs="David" w:eastAsia="David" w:hAnsi="David"/>
          <w:b/>
          <w:bCs/>
          <w:sz w:val="26"/>
          <w:szCs w:val="26"/>
          <w:rtl/>
        </w:rPr>
        <w:t xml:space="preserve">א.1 ניתוח סיבות שורש</w:t>
      </w:r>
    </w:p>
    <w:p>
      <w:pPr>
        <w:bidi/>
        <w:spacing w:after="120" w:line="360"/>
        <w:jc w:val="both"/>
      </w:pPr>
      <w:r>
        <w:rPr>
          <w:rFonts w:ascii="David" w:cs="David" w:eastAsia="David" w:hAnsi="David"/>
          <w:sz w:val="24"/>
          <w:szCs w:val="24"/>
          <w:rtl/>
        </w:rPr>
        <w:t xml:space="preserve">תרשים אישיקאווה, המכונה גם תרשים עצם דג, הוא כלי ויזואלי הממפה את הקשר בין סיבות אפשריות לתוצאה אחת, ומאפשר לפרק בעיה מורכבת לקטגוריות ראשוניות במקום לחפש גורם יחיד. השימוש בו נועד להבחין בין סימפטומים גלויים לבין גורמי שורש נסתרים, מתוך הנחה שבעיות חוזרות בארגון נובעות ממבנה ולא מכשל חד-פעמי (Ishikawa, 1968, כפי שמצוטט אצל אמבר, 2026).</w:t>
      </w:r>
    </w:p>
    <w:p>
      <w:pPr>
        <w:bidi/>
        <w:spacing w:after="100" w:before="180" w:line="360"/>
        <w:jc w:val="right"/>
      </w:pPr>
      <w:r>
        <w:rPr>
          <w:rFonts w:ascii="David" w:cs="David" w:eastAsia="David" w:hAnsi="David"/>
          <w:b/>
          <w:bCs/>
          <w:sz w:val="24"/>
          <w:szCs w:val="24"/>
          <w:rtl/>
        </w:rPr>
        <w:t xml:space="preserve">הגדרת הבעיה: ראש הדג</w:t>
      </w:r>
    </w:p>
    <w:p>
      <w:pPr>
        <w:bidi/>
        <w:spacing w:after="120" w:line="360"/>
        <w:jc w:val="both"/>
      </w:pPr>
      <w:r>
        <w:rPr>
          <w:rFonts w:ascii="David" w:cs="David" w:eastAsia="David" w:hAnsi="David"/>
          <w:sz w:val="24"/>
          <w:szCs w:val="24"/>
          <w:rtl/>
        </w:rPr>
        <w:t xml:space="preserve">הגדרת הבעיה נעשתה לפי ארבע השאלות שהוצגו בקורס: מהי הבעיה במדויק, מתי היא קרתה, איפה היא התרחשה, ומה ההשפעה שלה (אמבר, 2026). הבעיה מנוסחת כך: שיעור נמוך ועקבי של תלמידי בית הספר מסיימים 5 יחידות מתמטיקה (8.5%) ובגרות הייטק (4.3%), בשיעורים הנמוכים מן הממוצע הארצי בכמחצית, וזאת בבית ספר שהזהות המוצהרת שלו מדעית ושהישגיו בכל מדד אחר גבוהים מן הממוצע.</w:t>
      </w:r>
    </w:p>
    <w:p>
      <w:pPr>
        <w:bidi/>
        <w:spacing w:after="120" w:line="360"/>
        <w:jc w:val="both"/>
      </w:pPr>
      <w:r>
        <w:rPr>
          <w:rFonts w:ascii="David" w:cs="David" w:eastAsia="David" w:hAnsi="David"/>
          <w:sz w:val="24"/>
          <w:szCs w:val="24"/>
          <w:rtl/>
        </w:rPr>
        <w:t xml:space="preserve">ההשפעות הנגזרות מן הבעיה הן שלוש. ברמת התלמיד, בוגר שסיים 4 יחידות מתמטיקה נחסם בפועל מחלק ניכר ממסלולי ההנדסה, מדעי המחשב והרפואה באקדמיה, ומכאן שהפער מתורגם להזדמנויות תעסוקה ושכר לאורך חיים. ברמת בית הספר, קיים פער בין המותג המוצהר לבין התפוקה, פער שעלול לפגוע באמון ההורים ובגיוס תלמידים חזקים בשכבה ט'. ברמת הרשת והמדיניות, בית ספר שהוא נכס של רשת דרכא בפריפריה אינו ממצה את תרומתו ליעד הלאומי של הרחבת מעגל בוגרי בגרות ההייטק.</w:t>
      </w:r>
    </w:p>
    <w:p>
      <w:pPr>
        <w:bidi/>
        <w:spacing w:after="100" w:before="180" w:line="360"/>
        <w:jc w:val="right"/>
      </w:pPr>
      <w:r>
        <w:rPr>
          <w:rFonts w:ascii="David" w:cs="David" w:eastAsia="David" w:hAnsi="David"/>
          <w:b/>
          <w:bCs/>
          <w:sz w:val="24"/>
          <w:szCs w:val="24"/>
          <w:rtl/>
        </w:rPr>
        <w:t xml:space="preserve">תרשים עצם דג</w:t>
      </w:r>
    </w:p>
    <w:p>
      <w:pPr>
        <w:spacing w:after="60" w:before="120"/>
        <w:jc w:val="center"/>
      </w:pPr>
      <w:r>
        <w:drawing>
          <wp:inline distT="0" distB="0" distL="0" distR="0">
            <wp:extent cx="5715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876425"/>
                    </a:xfrm>
                    <a:prstGeom prst="rect">
                      <a:avLst/>
                    </a:prstGeom>
                  </pic:spPr>
                </pic:pic>
              </a:graphicData>
            </a:graphic>
          </wp:inline>
        </w:drawing>
      </w:r>
    </w:p>
    <w:p>
      <w:pPr>
        <w:bidi/>
        <w:spacing w:after="200"/>
        <w:jc w:val="center"/>
      </w:pPr>
      <w:r>
        <w:rPr>
          <w:rFonts w:ascii="David" w:cs="David" w:eastAsia="David" w:hAnsi="David"/>
          <w:b/>
          <w:bCs/>
          <w:sz w:val="20"/>
          <w:szCs w:val="20"/>
          <w:rtl/>
        </w:rPr>
        <w:t xml:space="preserve">תרשים 1: ניתוח סיבות שורש לפי מודל אישיקאווה</w:t>
      </w:r>
    </w:p>
    <w:p>
      <w:pPr>
        <w:bidi/>
        <w:spacing w:after="80" w:before="160" w:line="300"/>
        <w:jc w:val="right"/>
      </w:pPr>
      <w:r>
        <w:rPr>
          <w:rFonts w:ascii="David" w:cs="David" w:eastAsia="David" w:hAnsi="David"/>
          <w:b/>
          <w:bCs/>
          <w:sz w:val="22"/>
          <w:szCs w:val="22"/>
          <w:rtl/>
        </w:rPr>
        <w:t xml:space="preserve">טבלה 1: קטגוריות וסיבות שורש פוטנציאליות</w:t>
      </w:r>
    </w:p>
    <w:tbl>
      <w:tblPr>
        <w:bidiVisual/>
        <w:tblW w:type="dxa" w:w="9060"/>
        <w:tblBorders>
          <w:top w:val="single" w:color="8496B0" w:sz="4"/>
          <w:left w:val="single" w:color="8496B0" w:sz="4"/>
          <w:bottom w:val="single" w:color="8496B0" w:sz="4"/>
          <w:right w:val="single" w:color="8496B0" w:sz="4"/>
          <w:insideH w:val="single" w:color="B4C6E7" w:sz="2"/>
          <w:insideV w:val="single" w:color="B4C6E7" w:sz="2"/>
        </w:tblBorders>
      </w:tblPr>
      <w:tblGrid>
        <w:gridCol w:w="1700"/>
        <w:gridCol w:w="7360"/>
      </w:tblGrid>
      <w:tr>
        <w:trPr>
          <w:tblHeader/>
        </w:trPr>
        <w:tc>
          <w:tcPr>
            <w:tcW w:type="dxa" w:w="17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קטגוריה</w:t>
            </w:r>
          </w:p>
        </w:tc>
        <w:tc>
          <w:tcPr>
            <w:tcW w:type="dxa" w:w="736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סיבות שורש פוטנציאליות</w:t>
            </w:r>
          </w:p>
        </w:tc>
      </w:tr>
      <w:tr>
        <w:tc>
          <w:tcPr>
            <w:tcW w:type="dxa" w:w="17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משאבי אנוש</w:t>
            </w:r>
          </w:p>
        </w:tc>
        <w:tc>
          <w:tcPr>
            <w:tcW w:type="dxa" w:w="73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מחסור ארצי במורי מתמטיקה מוסמכים להוראת 5 יחידות, המקשה במיוחד על בתי ספר בפריפריה; תלות בפרט, כאשר מגמת 5 היחידות נשענת על מורה יחיד ומתערערת עם עזיבתו; הקצאת שעות הפיתוח המקצועי לרוחב הסגל ולא לעומק ההוראה במקצוע ספציפי.</w:t>
            </w:r>
          </w:p>
        </w:tc>
      </w:tr>
      <w:tr>
        <w:tc>
          <w:tcPr>
            <w:tcW w:type="dxa" w:w="17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שיטות ותהליכי עבודה</w:t>
            </w:r>
          </w:p>
        </w:tc>
        <w:tc>
          <w:tcPr>
            <w:tcW w:type="dxa" w:w="73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ההקבצה בכיתה ט' מתפקדת כנקודת מיון כמעט סופית, אף שבשלב זה קשה לחזות מסוגלות; המעבר מ-5 יחידות ל-4 הוא חד-כיווני ואין מנגנון מסודר לחזרה כלפי מעלה; שעות התגבור מפוזרות על כלל התלמידים המתקשים ואינן ממוקדות בתלמידים הגבוליים, שהם קבוצת ההכרעה.</w:t>
            </w:r>
          </w:p>
        </w:tc>
      </w:tr>
      <w:tr>
        <w:tc>
          <w:tcPr>
            <w:tcW w:type="dxa" w:w="17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ניהול ומנהיגות</w:t>
            </w:r>
          </w:p>
        </w:tc>
        <w:tc>
          <w:tcPr>
            <w:tcW w:type="dxa" w:w="73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יעדי בית הספר וההצלחה הנמדדת מנוסחים במונחי זכאות לבגרות ולא במונחי עומק ההישג; אין בעלות ניהולית מוגדרת על צינור ה-5 יחידות לאורך ארבע שנות הלימוד; ההחלטה להוריד תלמיד רמה נתונה לשיקול דעת פרטני של מורה או יועצת, בלי קריטריון או תיעוד.</w:t>
            </w:r>
          </w:p>
        </w:tc>
      </w:tr>
      <w:tr>
        <w:tc>
          <w:tcPr>
            <w:tcW w:type="dxa" w:w="17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תרבות וזהות ארגונית</w:t>
            </w:r>
          </w:p>
        </w:tc>
        <w:tc>
          <w:tcPr>
            <w:tcW w:type="dxa" w:w="73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הזהות המוצהרת "למדעים ואמנויות" אינה מתורגמת לנורמה יומיומית ולציפייה מפורשת מתלמידים; תפיסת מסוגלות נמוכה בקרב תלמידים ומשפחות ביחס למתמטיקה מורחבת, לעומת תפיסה נוחה יותר כלפי אנגלית; ההצלחה נתפסת בקהילת בית הספר כתעודת בגרות, ולא כרמת המקצועות שבה.</w:t>
            </w:r>
          </w:p>
        </w:tc>
      </w:tr>
      <w:tr>
        <w:tc>
          <w:tcPr>
            <w:tcW w:type="dxa" w:w="17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נתונים וטכנולוגיה</w:t>
            </w:r>
          </w:p>
        </w:tc>
        <w:tc>
          <w:tcPr>
            <w:tcW w:type="dxa" w:w="73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אין מעקב שוטף אחר תלמידים הנושרים מ-5 יחידות בין שכבה לשכבה, ולכן הנשירה מתגלה בדיעבד; נתוני ההישגים מחטיבת הביניים אינם מוזרמים באופן מובנה לצוות המתמטיקה בתיכון; אין נקודת מוצא מתועדת שאפשר למדוד מולה שינוי.</w:t>
            </w:r>
          </w:p>
        </w:tc>
      </w:tr>
      <w:tr>
        <w:tc>
          <w:tcPr>
            <w:tcW w:type="dxa" w:w="17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סביבה חיצונית</w:t>
            </w:r>
          </w:p>
        </w:tc>
        <w:tc>
          <w:tcPr>
            <w:tcW w:type="dxa" w:w="73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תחרות ארצית עזה על מורי מתמטיקה, המקשה על גיוס ושימור; מגמה ארצית של ירידה בזכאות לבגרות הייטק ול-5 יחידות מתמטיקה, המחלישה את הרוח הגבית; הקשר חברתי-כלכלי והון תרבותי במשפחות, המשפיעים על היכרות עם ערך המסלול המדעי ועל היכולת לממן עזרה פרטית.</w:t>
            </w:r>
          </w:p>
        </w:tc>
      </w:tr>
    </w:tbl>
    <w:p>
      <w:pPr>
        <w:bidi/>
        <w:spacing w:after="100" w:before="180" w:line="360"/>
        <w:jc w:val="right"/>
      </w:pPr>
      <w:r>
        <w:rPr>
          <w:rFonts w:ascii="David" w:cs="David" w:eastAsia="David" w:hAnsi="David"/>
          <w:b/>
          <w:bCs/>
          <w:sz w:val="24"/>
          <w:szCs w:val="24"/>
          <w:rtl/>
        </w:rPr>
        <w:t xml:space="preserve">חקר ה"למה": חמש הלמה</w:t>
      </w:r>
    </w:p>
    <w:p>
      <w:pPr>
        <w:bidi/>
        <w:spacing w:after="120" w:line="360"/>
        <w:jc w:val="both"/>
      </w:pPr>
      <w:r>
        <w:rPr>
          <w:rFonts w:ascii="David" w:cs="David" w:eastAsia="David" w:hAnsi="David"/>
          <w:sz w:val="24"/>
          <w:szCs w:val="24"/>
          <w:rtl/>
        </w:rPr>
        <w:t xml:space="preserve">כדי לעבור מריבוי סיבות אל שורש בר-התערבות, נעשה שימוש בטכניקת חמש הלמה, שבה חוזרים ושואלים "למה זה קורה" עד להגעה לגורם מבני שאפשר לפעול עליו (אמבר, 2026). התרשים שלהלן מציג את השרשרת שנבחרה, המתחילה בסימפטום הגלוי ביותר.</w:t>
      </w:r>
    </w:p>
    <w:p>
      <w:pPr>
        <w:bidi/>
        <w:spacing w:after="80" w:before="160" w:line="300"/>
        <w:jc w:val="right"/>
      </w:pPr>
      <w:r>
        <w:rPr>
          <w:rFonts w:ascii="David" w:cs="David" w:eastAsia="David" w:hAnsi="David"/>
          <w:b/>
          <w:bCs/>
          <w:sz w:val="22"/>
          <w:szCs w:val="22"/>
          <w:rtl/>
        </w:rPr>
        <w:t xml:space="preserve">טבלה 2: שרשרת חמש הלמה</w:t>
      </w:r>
    </w:p>
    <w:tbl>
      <w:tblPr>
        <w:bidiVisual/>
        <w:tblW w:type="dxa" w:w="9060"/>
        <w:tblBorders>
          <w:top w:val="single" w:color="8496B0" w:sz="4"/>
          <w:left w:val="single" w:color="8496B0" w:sz="4"/>
          <w:bottom w:val="single" w:color="8496B0" w:sz="4"/>
          <w:right w:val="single" w:color="8496B0" w:sz="4"/>
          <w:insideH w:val="single" w:color="B4C6E7" w:sz="2"/>
          <w:insideV w:val="single" w:color="B4C6E7" w:sz="2"/>
        </w:tblBorders>
      </w:tblPr>
      <w:tblGrid>
        <w:gridCol w:w="1100"/>
        <w:gridCol w:w="7960"/>
      </w:tblGrid>
      <w:tr>
        <w:trPr>
          <w:tblHeader/>
        </w:trPr>
        <w:tc>
          <w:tcPr>
            <w:tcW w:type="dxa" w:w="11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שלב</w:t>
            </w:r>
          </w:p>
        </w:tc>
        <w:tc>
          <w:tcPr>
            <w:tcW w:type="dxa" w:w="796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השאלה והתשובה המשוערת</w:t>
            </w:r>
          </w:p>
        </w:tc>
      </w:tr>
      <w:tr>
        <w:tc>
          <w:tcPr>
            <w:tcW w:type="dxa" w:w="11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הנושא</w:t>
            </w:r>
          </w:p>
        </w:tc>
        <w:tc>
          <w:tcPr>
            <w:tcW w:type="dxa" w:w="79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רק 8.5% מתלמידי בית הספר מסיימים 5 יחידות מתמטיקה, לעומת 49.2% באנגלית.</w:t>
            </w:r>
          </w:p>
        </w:tc>
      </w:tr>
      <w:tr>
        <w:tc>
          <w:tcPr>
            <w:tcW w:type="dxa" w:w="11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למה 1?</w:t>
            </w:r>
          </w:p>
        </w:tc>
        <w:tc>
          <w:tcPr>
            <w:tcW w:type="dxa" w:w="79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משום שקבוצת 5 היחידות מצטמצמת לאורך שנות התיכון: תלמידים שמתחילים בה יורדים לרמת 4 יחידות ואינם חוזרים.</w:t>
            </w:r>
          </w:p>
        </w:tc>
      </w:tr>
      <w:tr>
        <w:tc>
          <w:tcPr>
            <w:tcW w:type="dxa" w:w="11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למה 2?</w:t>
            </w:r>
          </w:p>
        </w:tc>
        <w:tc>
          <w:tcPr>
            <w:tcW w:type="dxa" w:w="79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משום שכאשר תלמיד מתקשה, ההחלטה הזמינה והמהירה ביותר היא הורדת רמה, ואין מסלול חלופי מובנה של תמיכה ממוקדת או חזרה מאוחרת.</w:t>
            </w:r>
          </w:p>
        </w:tc>
      </w:tr>
      <w:tr>
        <w:tc>
          <w:tcPr>
            <w:tcW w:type="dxa" w:w="11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למה 3?</w:t>
            </w:r>
          </w:p>
        </w:tc>
        <w:tc>
          <w:tcPr>
            <w:tcW w:type="dxa" w:w="79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משום שהורדת רמה נתפסת כהחלטה בטוחה: היא מבטיחה את הזכאות של התלמיד ומגינה על נתוני בית הספר, בעוד השארתו ב-5 יחידות מסכנת את שניהם.</w:t>
            </w:r>
          </w:p>
        </w:tc>
      </w:tr>
      <w:tr>
        <w:tc>
          <w:tcPr>
            <w:tcW w:type="dxa" w:w="11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למה 4?</w:t>
            </w:r>
          </w:p>
        </w:tc>
        <w:tc>
          <w:tcPr>
            <w:tcW w:type="dxa" w:w="79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משום שמדד ההצלחה שבית הספר נמדד בו, פנימית וחיצונית, הוא שיעור הזכאות לבגרות, ולא שיעור המסיימים מקצועות ברמה מורחבת.</w:t>
            </w:r>
          </w:p>
        </w:tc>
      </w:tr>
      <w:tr>
        <w:tc>
          <w:tcPr>
            <w:tcW w:type="dxa" w:w="110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למה 5 (שורש)</w:t>
            </w:r>
          </w:p>
        </w:tc>
        <w:tc>
          <w:tcPr>
            <w:tcW w:type="dxa" w:w="796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משום שמערכת המדידה, היעדים והתמריצים של בית הספר מתגמלת רוחב הישג ואינה מתגמלת עומק, ולכן שיקול הדעת של כל גורם בשרשרת מוטה באופן שיטתי כלפי הורדת רמה.</w:t>
            </w:r>
          </w:p>
        </w:tc>
      </w:tr>
    </w:tbl>
    <w:p>
      <w:pPr>
        <w:bidi/>
        <w:spacing w:after="120" w:line="360"/>
        <w:jc w:val="both"/>
      </w:pPr>
      <w:r>
        <w:rPr>
          <w:rFonts w:ascii="David" w:cs="David" w:eastAsia="David" w:hAnsi="David"/>
          <w:sz w:val="24"/>
          <w:szCs w:val="24"/>
          <w:rtl/>
        </w:rPr>
        <w:t xml:space="preserve">בעיית השורש שגובשה היא אפוא בעיה של מדידה ותמריצים, ולא בעיה של יכולת הוראה או של איכות תלמידים. ניסוחה: מערכת היעדים והמדידה של בית הספר מגדירה הצלחה כזכאות לבגרות, ולכן יוצרת תמריץ שיטתי, גלוי וסמוי כאחד, להוריד תלמידים גבוליים מ-5 יחידות ל-4 יחידות מתמטיקה. כל עוד ההגדרה הזו עומדת בעינה, תוספת שעות או שיפור הוראה יביאו שיפור מוגבל בלבד, משום שהמנגנון שמסנן את התלמידים החוצה ימשיך לפעול.</w:t>
      </w:r>
    </w:p>
    <w:p>
      <w:pPr>
        <w:bidi/>
        <w:spacing w:after="120" w:line="360"/>
        <w:jc w:val="both"/>
      </w:pPr>
      <w:r>
        <w:rPr>
          <w:rFonts w:ascii="David" w:cs="David" w:eastAsia="David" w:hAnsi="David"/>
          <w:sz w:val="24"/>
          <w:szCs w:val="24"/>
          <w:rtl/>
        </w:rPr>
        <w:t xml:space="preserve">ניסוח זה גם מסביר את הפער מול האנגלית. באנגלית, רמת 5 יחידות אינה מסכנת את הזכאות באותה מידה, נתפסת כנגישה יותר ואינה כרוכה באותה חרדת כישלון, ולכן התמריץ להוריד רמה חלש יותר והצינור נשמר. ההשוואה הפנימית הזו היא נקודת המוצא של ההתערבות שתוצע בפרק ד'.</w:t>
      </w:r>
    </w:p>
    <w:p>
      <w:r>
        <w:br w:type="page"/>
      </w:r>
    </w:p>
    <w:p>
      <w:pPr>
        <w:bidi/>
        <w:spacing w:after="120" w:before="240" w:line="360"/>
        <w:jc w:val="right"/>
      </w:pPr>
      <w:r>
        <w:rPr>
          <w:rFonts w:ascii="David" w:cs="David" w:eastAsia="David" w:hAnsi="David"/>
          <w:b/>
          <w:bCs/>
          <w:sz w:val="26"/>
          <w:szCs w:val="26"/>
          <w:rtl/>
        </w:rPr>
        <w:t xml:space="preserve">א.2 ניתוח בעלי עניין</w:t>
      </w:r>
    </w:p>
    <w:p>
      <w:pPr>
        <w:bidi/>
        <w:spacing w:after="120" w:line="360"/>
        <w:jc w:val="both"/>
      </w:pPr>
      <w:r>
        <w:rPr>
          <w:rFonts w:ascii="David" w:cs="David" w:eastAsia="David" w:hAnsi="David"/>
          <w:sz w:val="24"/>
          <w:szCs w:val="24"/>
          <w:rtl/>
        </w:rPr>
        <w:t xml:space="preserve">בעל עניין מוגדר בהגדרה הרחבה כל קבוצה או אדם המשפיעים על הארגון או מושפעים ממנו בהשגת מטרותיו. ההגדרה הרחבה נבחרת כאן במכוון, משום שהיא חושפת שחקנים בעלי עמדה שאינם בעלי סמכות פורמלית, ובראשם התלמידים והוריהם (Freeman, 1984, כפי שמצוטט אצל אמבר, 2026). המיפוי נעשה לפי המתודולוגיה בת ארבעת השלבים שנלמדה בקורס: זיהוי, הערכה, מיפוי ומעורבות (אמבר, 2026).</w:t>
      </w:r>
    </w:p>
    <w:p>
      <w:pPr>
        <w:bidi/>
        <w:spacing w:after="80" w:before="160" w:line="300"/>
        <w:jc w:val="right"/>
      </w:pPr>
      <w:r>
        <w:rPr>
          <w:rFonts w:ascii="David" w:cs="David" w:eastAsia="David" w:hAnsi="David"/>
          <w:b/>
          <w:bCs/>
          <w:sz w:val="22"/>
          <w:szCs w:val="22"/>
          <w:rtl/>
        </w:rPr>
        <w:t xml:space="preserve">טבלה 3: מיפוי בעלי עניין</w:t>
      </w:r>
    </w:p>
    <w:tbl>
      <w:tblPr>
        <w:bidiVisual/>
        <w:tblW w:type="dxa" w:w="9060"/>
        <w:tblBorders>
          <w:top w:val="single" w:color="8496B0" w:sz="4"/>
          <w:left w:val="single" w:color="8496B0" w:sz="4"/>
          <w:bottom w:val="single" w:color="8496B0" w:sz="4"/>
          <w:right w:val="single" w:color="8496B0" w:sz="4"/>
          <w:insideH w:val="single" w:color="B4C6E7" w:sz="2"/>
          <w:insideV w:val="single" w:color="B4C6E7" w:sz="2"/>
        </w:tblBorders>
      </w:tblPr>
      <w:tblGrid>
        <w:gridCol w:w="1180"/>
        <w:gridCol w:w="1620"/>
        <w:gridCol w:w="1450"/>
        <w:gridCol w:w="1450"/>
        <w:gridCol w:w="1500"/>
        <w:gridCol w:w="1860"/>
      </w:tblGrid>
      <w:tr>
        <w:trPr>
          <w:tblHeader/>
        </w:trPr>
        <w:tc>
          <w:tcPr>
            <w:tcW w:type="dxa" w:w="118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בעל העניין</w:t>
            </w:r>
          </w:p>
        </w:tc>
        <w:tc>
          <w:tcPr>
            <w:tcW w:type="dxa" w:w="162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אינטרסים ודאגות</w:t>
            </w:r>
          </w:p>
        </w:tc>
        <w:tc>
          <w:tcPr>
            <w:tcW w:type="dxa" w:w="145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צרכים מרכזיים</w:t>
            </w:r>
          </w:p>
        </w:tc>
        <w:tc>
          <w:tcPr>
            <w:tcW w:type="dxa" w:w="145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חשיבות ורלוונטיות</w:t>
            </w:r>
          </w:p>
        </w:tc>
        <w:tc>
          <w:tcPr>
            <w:tcW w:type="dxa" w:w="15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עמדה נוכחית משוערת</w:t>
            </w:r>
          </w:p>
        </w:tc>
        <w:tc>
          <w:tcPr>
            <w:tcW w:type="dxa" w:w="186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מידע חסר</w:t>
            </w:r>
          </w:p>
        </w:tc>
      </w:tr>
      <w:tr>
        <w:tc>
          <w:tcPr>
            <w:tcW w:type="dxa" w:w="118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מנהלת בית הספר</w:t>
            </w:r>
          </w:p>
        </w:tc>
        <w:tc>
          <w:tcPr>
            <w:tcW w:type="dxa" w:w="162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שמירה על מעמד בית הספר כמוביל, על נתוני הזכאות ועל היוקרה שהושגה; חשש מפגיעה בהישגים שנבנו לאורך שנים.</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ביטחון שהשינוי לא יסכן את 91.5% הזכאות; משאבים וגיבוי מהרשת; הצלחה מוכחת שאפשר להציג.</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גבוהה מאוד. בעלת הסמכות לשנות יעדים, להקצות שעות ולהגדיר תפקידים. בלעדיה ההתערבות אינה מתקיימת.</w:t>
            </w:r>
          </w:p>
        </w:tc>
        <w:tc>
          <w:tcPr>
            <w:tcW w:type="dxa" w:w="15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תומכת בעיקרון, זהירה ביישום. הזהות המדעית המוצהרת מהווה בסיס גיוס טוב.</w:t>
            </w:r>
          </w:p>
        </w:tc>
        <w:tc>
          <w:tcPr>
            <w:tcW w:type="dxa" w:w="18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כיצד מוגדרים היעדים הפנימיים בפועל; האם קיים יעד מספרי ל-5 יחידות; מהי עמדתה על סיכון מדד הזכאות.</w:t>
            </w:r>
          </w:p>
        </w:tc>
      </w:tr>
      <w:tr>
        <w:tc>
          <w:tcPr>
            <w:tcW w:type="dxa" w:w="118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רכז ומורי המתמטיקה</w:t>
            </w:r>
          </w:p>
        </w:tc>
        <w:tc>
          <w:tcPr>
            <w:tcW w:type="dxa" w:w="162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עומס הוראה; חשש מכיתות הטרוגניות ומאחריות לכישלון; גאווה מקצועית ורצון ללמד ברמה גבוהה.</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הכשרה ממוקדת; שעות פרטניות; גיבוי כשתלמיד גבולי נשאר; שותפות בהחלטה ולא הכתבה.</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גבוהה מאוד. הם המבצעים בפועל ובעלי וטו שקט: בלי הסכמתם המקצועית ההתערבות לא תתורגם לכיתה.</w:t>
            </w:r>
          </w:p>
        </w:tc>
        <w:tc>
          <w:tcPr>
            <w:tcW w:type="dxa" w:w="15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מעורבת. סביר שיזהו את הבעיה אך יחששו שהתוכנית תגלגל אליהם אחריות בלי משאבים.</w:t>
            </w:r>
          </w:p>
        </w:tc>
        <w:tc>
          <w:tcPr>
            <w:tcW w:type="dxa" w:w="18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מספר המורים המוסמכים ל-5 יחידות; שיעור התחלופה; כיצד מתקבלת בפועל החלטת הורדת רמה.</w:t>
            </w:r>
          </w:p>
        </w:tc>
      </w:tr>
      <w:tr>
        <w:tc>
          <w:tcPr>
            <w:tcW w:type="dxa" w:w="118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צוות אנגלית</w:t>
            </w:r>
          </w:p>
        </w:tc>
        <w:tc>
          <w:tcPr>
            <w:tcW w:type="dxa" w:w="162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עומס נוסף בעקבות בקשה לשמש מודל; רצון להכרה בהצלחה שהושגה.</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הכרה פורמלית; זמן מוקצה לשיתוף ידע; הגדרה ברורה של מה נדרש מהם.</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גבוהה בהקשר ההתערבות הנבחרת, שכן הם מחזיקים בידע המעשי שאותו מבקשים להעביר.</w:t>
            </w:r>
          </w:p>
        </w:tc>
        <w:tc>
          <w:tcPr>
            <w:tcW w:type="dxa" w:w="15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אדישה עד חיובית. ההצעה מציבה אותם כמומחים, מה שמייצר מוטיבציה.</w:t>
            </w:r>
          </w:p>
        </w:tc>
        <w:tc>
          <w:tcPr>
            <w:tcW w:type="dxa" w:w="18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מהן הפרקטיקות שהובילו ל-49.2%; האם הן ניתנות להעברה או תלויות בהקשר ייחודי.</w:t>
            </w:r>
          </w:p>
        </w:tc>
      </w:tr>
      <w:tr>
        <w:tc>
          <w:tcPr>
            <w:tcW w:type="dxa" w:w="118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יועצות ומחנכים</w:t>
            </w:r>
          </w:p>
        </w:tc>
        <w:tc>
          <w:tcPr>
            <w:tcW w:type="dxa" w:w="162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רווחת התלמיד ומניעת תסכול; אחריות אישית להצלחת התלמיד בבגרות.</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קריטריון ברור מתי נכון להשאיר תלמיד ומתי להוריד; כלים לשיחה עם הורים.</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גבוהה. הם צומת ההחלטה בפועל בשאלת הורדת רמה, גם כשההחלטה אינה פורמלית שלהם.</w:t>
            </w:r>
          </w:p>
        </w:tc>
        <w:tc>
          <w:tcPr>
            <w:tcW w:type="dxa" w:w="15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מסויגת. ההיגיון המקצועי שלהם מוטה להגנה על התלמיד מכישלון, ולכן לכיוון הורדת רמה.</w:t>
            </w:r>
          </w:p>
        </w:tc>
        <w:tc>
          <w:tcPr>
            <w:tcW w:type="dxa" w:w="18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מי מקבל בפועל את ההחלטה; מה משקל דעת ההורים; האם קיים תיעוד של ההחלטות.</w:t>
            </w:r>
          </w:p>
        </w:tc>
      </w:tr>
      <w:tr>
        <w:tc>
          <w:tcPr>
            <w:tcW w:type="dxa" w:w="118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תלמידים ומשפחות</w:t>
            </w:r>
          </w:p>
        </w:tc>
        <w:tc>
          <w:tcPr>
            <w:tcW w:type="dxa" w:w="162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הימנעות מכישלון ומלחץ; רצון בתעודת בגרות מלאה; אצל חלקם שאיפה למסלול טכנולוגי.</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מידע על ערך 5 היחידות; ליווי צמוד; ידיעה שקיימת דרך חזרה אם יתקשו.</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גבוהה. הם קהל היעד הישיר, והחלטתם היא התוצאה הסופית שאותה מבקשים לשנות.</w:t>
            </w:r>
          </w:p>
        </w:tc>
        <w:tc>
          <w:tcPr>
            <w:tcW w:type="dxa" w:w="15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מפוצלת. חלק שואף למצוינות, חלק מעדיף ודאות. תלוי מאוד במידע שברשותו.</w:t>
            </w:r>
          </w:p>
        </w:tc>
        <w:tc>
          <w:tcPr>
            <w:tcW w:type="dxa" w:w="18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מה תופס תלמיד גבולי כשיקול המכריע; מהי מידת ההיכרות של ההורים עם מדד בגרות ההייטק.</w:t>
            </w:r>
          </w:p>
        </w:tc>
      </w:tr>
      <w:tr>
        <w:tc>
          <w:tcPr>
            <w:tcW w:type="dxa" w:w="118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הנהלת רשת דרכא</w:t>
            </w:r>
          </w:p>
        </w:tc>
        <w:tc>
          <w:tcPr>
            <w:tcW w:type="dxa" w:w="162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מימוש ייעוד הרשת בצמצום פערים; מוניטין הרשת; תשואה על משאבים שהוקצו.</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מודל שניתן להרחיב לבתי ספר נוספים; מדידה שמוכיחה השפעה.</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גבוהה. מקור המשאבים, הלגיטימציה והידע הרוחבי, וגורם שיכול לחייב שינוי יעדים.</w:t>
            </w:r>
          </w:p>
        </w:tc>
        <w:tc>
          <w:tcPr>
            <w:tcW w:type="dxa" w:w="15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תומכת. הסוגייה תואמת במישרין את ייעוד הרשת המוצהר.</w:t>
            </w:r>
          </w:p>
        </w:tc>
        <w:tc>
          <w:tcPr>
            <w:tcW w:type="dxa" w:w="18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אילו תוכניות מצוינות מדעית כבר פועלות ברשת; מהם תנאי הקצאת המשאבים.</w:t>
            </w:r>
          </w:p>
        </w:tc>
      </w:tr>
      <w:tr>
        <w:tc>
          <w:tcPr>
            <w:tcW w:type="dxa" w:w="118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משרד החינוך והפיקוח</w:t>
            </w:r>
          </w:p>
        </w:tc>
        <w:tc>
          <w:tcPr>
            <w:tcW w:type="dxa" w:w="162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עמידה ביעדים לאומיים להרחבת מעגל לומדי המתמטיקה והמקצועות הטכנולוגיים.</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דיווח ונתונים; התאמה לתוכניות קיימות כגון מב"ט ועתודה מדעית-טכנולוגית.</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בינונית עד גבוהה. מקור תקציב ותוכניות, אך אינו מעורב בניהול היומיומי.</w:t>
            </w:r>
          </w:p>
        </w:tc>
        <w:tc>
          <w:tcPr>
            <w:tcW w:type="dxa" w:w="15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תומכת עקרונית, בעצימות נמוכה.</w:t>
            </w:r>
          </w:p>
        </w:tc>
        <w:tc>
          <w:tcPr>
            <w:tcW w:type="dxa" w:w="18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אילו תקציבים ותוכניות זמינים בפועל לבית הספר; מהם תנאי הזכאות.</w:t>
            </w:r>
          </w:p>
        </w:tc>
      </w:tr>
      <w:tr>
        <w:tc>
          <w:tcPr>
            <w:tcW w:type="dxa" w:w="118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חטיבת הביניים המזינה</w:t>
            </w:r>
          </w:p>
        </w:tc>
        <w:tc>
          <w:tcPr>
            <w:tcW w:type="dxa" w:w="162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המשכיות פדגוגית; מיצוב מול התיכון.</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תיאום ציפיות והעברת מידע מסודרת על תלמידים.</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בינונית. משפיעה על איכות נקודת הפתיחה בכיתה ט' ועל הרכב ההקבצות.</w:t>
            </w:r>
          </w:p>
        </w:tc>
        <w:tc>
          <w:tcPr>
            <w:tcW w:type="dxa" w:w="15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ניטרלית. אינה מזהה את הסוגייה כשלה.</w:t>
            </w:r>
          </w:p>
        </w:tc>
        <w:tc>
          <w:tcPr>
            <w:tcW w:type="dxa" w:w="18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אילו נתונים מועברים היום בפועל; מה מצב לומדי המתמטיקה בכיתה ח'.</w:t>
            </w:r>
          </w:p>
        </w:tc>
      </w:tr>
    </w:tbl>
    <w:p>
      <w:pPr>
        <w:bidi/>
        <w:spacing w:after="100" w:before="180" w:line="360"/>
        <w:jc w:val="right"/>
      </w:pPr>
      <w:r>
        <w:rPr>
          <w:rFonts w:ascii="David" w:cs="David" w:eastAsia="David" w:hAnsi="David"/>
          <w:b/>
          <w:bCs/>
          <w:sz w:val="24"/>
          <w:szCs w:val="24"/>
          <w:rtl/>
        </w:rPr>
        <w:t xml:space="preserve">מיקום במטריצת כוח מול עניין</w:t>
      </w:r>
    </w:p>
    <w:p>
      <w:pPr>
        <w:bidi/>
        <w:spacing w:after="120" w:line="360"/>
        <w:jc w:val="both"/>
      </w:pPr>
      <w:r>
        <w:rPr>
          <w:rFonts w:ascii="David" w:cs="David" w:eastAsia="David" w:hAnsi="David"/>
          <w:sz w:val="24"/>
          <w:szCs w:val="24"/>
          <w:rtl/>
        </w:rPr>
        <w:t xml:space="preserve">מיקום בעלי העניין נעשה לפי שני צירים שנלמדו בקורס: עוצמת ההשפעה על ההחלטה ורמת העניין בנושא. המטריצה מתרגמת את המיפוי לאסטרטגיית מעורבות מובחנת לכל רביע (אמבר, 2026).</w:t>
      </w:r>
    </w:p>
    <w:p>
      <w:pPr>
        <w:bidi/>
        <w:spacing w:after="80" w:before="160" w:line="300"/>
        <w:jc w:val="right"/>
      </w:pPr>
      <w:r>
        <w:rPr>
          <w:rFonts w:ascii="David" w:cs="David" w:eastAsia="David" w:hAnsi="David"/>
          <w:b/>
          <w:bCs/>
          <w:sz w:val="22"/>
          <w:szCs w:val="22"/>
          <w:rtl/>
        </w:rPr>
        <w:t xml:space="preserve">טבלה 4: מטריצת כוח מול עניין ואסטרטגיית מעורבות</w:t>
      </w:r>
    </w:p>
    <w:tbl>
      <w:tblPr>
        <w:bidiVisual/>
        <w:tblW w:type="dxa" w:w="9060"/>
        <w:tblBorders>
          <w:top w:val="single" w:color="8496B0" w:sz="4"/>
          <w:left w:val="single" w:color="8496B0" w:sz="4"/>
          <w:bottom w:val="single" w:color="8496B0" w:sz="4"/>
          <w:right w:val="single" w:color="8496B0" w:sz="4"/>
          <w:insideH w:val="single" w:color="B4C6E7" w:sz="2"/>
          <w:insideV w:val="single" w:color="B4C6E7" w:sz="2"/>
        </w:tblBorders>
      </w:tblPr>
      <w:tblGrid>
        <w:gridCol w:w="1660"/>
        <w:gridCol w:w="3700"/>
        <w:gridCol w:w="3700"/>
      </w:tblGrid>
      <w:tr>
        <w:trPr>
          <w:tblHeader/>
        </w:trPr>
        <w:tc>
          <w:tcPr>
            <w:tcW w:type="dxa" w:w="166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
            </w:r>
          </w:p>
        </w:tc>
        <w:tc>
          <w:tcPr>
            <w:tcW w:type="dxa" w:w="37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עניין גבוה</w:t>
            </w:r>
          </w:p>
        </w:tc>
        <w:tc>
          <w:tcPr>
            <w:tcW w:type="dxa" w:w="37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עניין נמוך</w:t>
            </w:r>
          </w:p>
        </w:tc>
      </w:tr>
      <w:tr>
        <w:tc>
          <w:tcPr>
            <w:tcW w:type="dxa" w:w="166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השפעה גבוהה</w:t>
            </w:r>
          </w:p>
        </w:tc>
        <w:tc>
          <w:tcPr>
            <w:tcW w:type="dxa" w:w="37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שיתוף פעולה (Collaborate): מנהלת בית הספר, רכז ומורי המתמטיקה, הנהלת רשת דרכא. יש לשתפם בעיצוב ההתערבות עצמה ולא רק ביישומה, ולהעניק להם בעלות על התוצר.</w:t>
            </w:r>
          </w:p>
        </w:tc>
        <w:tc>
          <w:tcPr>
            <w:tcW w:type="dxa" w:w="37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שמירה על שביעות רצון (Keep Satisfied): הפיקוח ומשרד החינוך. יש לעדכנם בנקודות ציון מוגדרות ולהתאים את התוכנית לתוכניות הקיימות, בלי להעמיס עליהם ניהול שוטף.</w:t>
            </w:r>
          </w:p>
        </w:tc>
      </w:tr>
      <w:tr>
        <w:tc>
          <w:tcPr>
            <w:tcW w:type="dxa" w:w="166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השפעה נמוכה</w:t>
            </w:r>
          </w:p>
        </w:tc>
        <w:tc>
          <w:tcPr>
            <w:tcW w:type="dxa" w:w="37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שמירה על יידוע (Keep Informed): תלמידים והורים, יועצות ומחנכים, צוות האנגלית. תקשורת שוטפת, שקיפות לגבי הכללים החדשים ומתן במה להשפעה, גם כשאין להם סמכות פורמלית.</w:t>
            </w:r>
          </w:p>
        </w:tc>
        <w:tc>
          <w:tcPr>
            <w:tcW w:type="dxa" w:w="37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ניטור (Monitor): חטיבת הביניים המזינה. מעקב וקשר בסיסי, עם אפשרות להעלאת מעורבות בשלב מאוחר יותר כאשר תידרש העברת נתונים.</w:t>
            </w:r>
          </w:p>
        </w:tc>
      </w:tr>
    </w:tbl>
    <w:p>
      <w:pPr>
        <w:bidi/>
        <w:spacing w:after="120" w:line="360"/>
        <w:jc w:val="both"/>
      </w:pPr>
      <w:r>
        <w:rPr>
          <w:rFonts w:ascii="David" w:cs="David" w:eastAsia="David" w:hAnsi="David"/>
          <w:sz w:val="24"/>
          <w:szCs w:val="24"/>
          <w:rtl/>
        </w:rPr>
        <w:t xml:space="preserve">שני קשרים בין בעלי העניין ראויים לתשומת לב מיוחדת. הראשון הוא קואליציה אפשרית בין הנהלת הרשת למנהלת בית הספר, המסוגלת יחד לשנות את הגדרת היעדים, שהיא בעיית השורש שזוהתה. השני הוא קונפליקט סמוי בין היועצות והמחנכים לבין יעדי ההתערבות: ההיגיון המקצועי שלהם, המבקש להגן על התלמיד מכישלון, מוביל בדיוק אל ההתנהגות שאותה מבקשים לשנות. קונפליקט זה אינו נובע מהתנגדות לשינוי אלא מערכים מקצועיים לגיטימיים, ולכן טיפול בו מחייב מסגור מחדש של הבעיה במונחים המשותפים לשני הצדדים, ולא הפעלת סמכות (Bryson, 2004, כפי שמצוטט אצל אמבר, 2026).</w:t>
      </w:r>
    </w:p>
    <w:p>
      <w:r>
        <w:br w:type="page"/>
      </w:r>
    </w:p>
    <w:p>
      <w:pPr>
        <w:bidi/>
        <w:spacing w:after="200" w:before="0" w:line="360"/>
        <w:jc w:val="right"/>
      </w:pPr>
      <w:r>
        <w:rPr>
          <w:rFonts w:ascii="David" w:cs="David" w:eastAsia="David" w:hAnsi="David"/>
          <w:b/>
          <w:bCs/>
          <w:sz w:val="30"/>
          <w:szCs w:val="30"/>
          <w:rtl/>
        </w:rPr>
        <w:t xml:space="preserve">פרק ב': גיבוש מסגרת אבחונית</w:t>
      </w:r>
    </w:p>
    <w:p>
      <w:pPr>
        <w:bidi/>
        <w:spacing w:after="120" w:line="360"/>
        <w:jc w:val="both"/>
      </w:pPr>
      <w:r>
        <w:rPr>
          <w:rFonts w:ascii="David" w:cs="David" w:eastAsia="David" w:hAnsi="David"/>
          <w:sz w:val="24"/>
          <w:szCs w:val="24"/>
          <w:rtl/>
        </w:rPr>
        <w:t xml:space="preserve">שימוש במודל אבחון מסייע לארגן את המידע, למקד את תהליך האבחון וליצור שפה משותפת בין היועץ, ההנהלה ובעלי העניין. המודל מכתיב על מה מסתכלים, באיזו רמה, ומה המידע שיש לאסוף (אמבר, 2026). פרק זה מציג את המודל שנבחר, את ההצדקה לבחירתו ואת תוכנית המדידה הנגזרת ממנו.</w:t>
      </w:r>
    </w:p>
    <w:p>
      <w:pPr>
        <w:bidi/>
        <w:spacing w:after="120" w:before="240" w:line="360"/>
        <w:jc w:val="right"/>
      </w:pPr>
      <w:r>
        <w:rPr>
          <w:rFonts w:ascii="David" w:cs="David" w:eastAsia="David" w:hAnsi="David"/>
          <w:b/>
          <w:bCs/>
          <w:sz w:val="26"/>
          <w:szCs w:val="26"/>
          <w:rtl/>
        </w:rPr>
        <w:t xml:space="preserve">ב.1 בחירת מודל האבחון</w:t>
      </w:r>
    </w:p>
    <w:p>
      <w:pPr>
        <w:bidi/>
        <w:spacing w:after="100" w:before="180" w:line="360"/>
        <w:jc w:val="right"/>
      </w:pPr>
      <w:r>
        <w:rPr>
          <w:rFonts w:ascii="David" w:cs="David" w:eastAsia="David" w:hAnsi="David"/>
          <w:b/>
          <w:bCs/>
          <w:sz w:val="24"/>
          <w:szCs w:val="24"/>
          <w:rtl/>
        </w:rPr>
        <w:t xml:space="preserve">המודל הנבחר</w:t>
      </w:r>
    </w:p>
    <w:p>
      <w:pPr>
        <w:bidi/>
        <w:spacing w:after="120" w:line="360"/>
        <w:jc w:val="both"/>
      </w:pPr>
      <w:r>
        <w:rPr>
          <w:rFonts w:ascii="David" w:cs="David" w:eastAsia="David" w:hAnsi="David"/>
          <w:sz w:val="24"/>
          <w:szCs w:val="24"/>
          <w:rtl/>
        </w:rPr>
        <w:t xml:space="preserve">המודל שנבחר הוא מודל ששת התיבות של וייסבורד, בשילוב ממוקד של עדשת הניהול על פי ערכים בתיבת המטרות. מודל ששת התיבות בוחן ארגון דרך שישה רכיבים: מטרות, מבנה, יחסים, תגמולים, מנהיגות ומנגנוני עזר, ובוחן בכל אחד מהם את הפער בין המצוי הרשמי לבין המצוי בפועל. המודל פועל ברמת הארגון והקבוצה ומתאים כאשר יש צורך במפה כוללת ובזיהוי חוסר התאמה בין מערכות (Weisbord, 1976, כפי שמצוטט אצל אמבר, 2026).</w:t>
      </w:r>
    </w:p>
    <w:p>
      <w:pPr>
        <w:bidi/>
        <w:spacing w:after="100" w:before="180" w:line="360"/>
        <w:jc w:val="right"/>
      </w:pPr>
      <w:r>
        <w:rPr>
          <w:rFonts w:ascii="David" w:cs="David" w:eastAsia="David" w:hAnsi="David"/>
          <w:b/>
          <w:bCs/>
          <w:sz w:val="24"/>
          <w:szCs w:val="24"/>
          <w:rtl/>
        </w:rPr>
        <w:t xml:space="preserve">ההצדקה לבחירה</w:t>
      </w:r>
    </w:p>
    <w:p>
      <w:pPr>
        <w:bidi/>
        <w:spacing w:after="120" w:line="360"/>
        <w:jc w:val="both"/>
      </w:pPr>
      <w:r>
        <w:rPr>
          <w:rFonts w:ascii="David" w:cs="David" w:eastAsia="David" w:hAnsi="David"/>
          <w:sz w:val="24"/>
          <w:szCs w:val="24"/>
          <w:rtl/>
        </w:rPr>
        <w:t xml:space="preserve">שלושה נימוקים תומכים בבחירה. ראשית, התאמה לבעיית השורש. בעיית השורש שזוהתה בפרק א' היא חוסר התאמה בין מה שהארגון מצהיר שהוא מבקש להשיג לבין מה שהוא מודד ומתגמל בפועל. במודל וייסבורד יש שתי תיבות שנוגעות ישירות בכך, תיבת המטרות ותיבת התגמולים, והמודל בנוי סביב השאלה האם קיימת התאמה ביניהן. מודל אחר שנלמד בקורס, כגון מודל המערכות הפתוחות, היה מאיר היטב את יחסי בית הספר עם סביבתו אך לא היה מחדד את הפער הפנימי הזה, שהוא לב הסוגייה.</w:t>
      </w:r>
    </w:p>
    <w:p>
      <w:pPr>
        <w:bidi/>
        <w:spacing w:after="120" w:line="360"/>
        <w:jc w:val="both"/>
      </w:pPr>
      <w:r>
        <w:rPr>
          <w:rFonts w:ascii="David" w:cs="David" w:eastAsia="David" w:hAnsi="David"/>
          <w:sz w:val="24"/>
          <w:szCs w:val="24"/>
          <w:rtl/>
        </w:rPr>
        <w:t xml:space="preserve">שנית, התאמה לסוג הארגון ולזמינות הנתונים. בית ספר הוא ארגון קטן יחסית, בעל מבנה ברור ומספר מצומצם של בעלי תפקידים. מודל ששת התיבות פשוט דיו כדי לשמש שפה משותפת בשיחה עם מנהלת ועם רכזי מקצוע, ואינו דורש את התשתית הנתונית שמודל כמו ניתוח רשתות ארגוניות מחייב. שלישית, המודל מאפשר לאתר בדיוק את המנגנון החסר. תיבת מנגנוני העזר עוסקת במערכות המידע והנהלים המחברים בין הרכיבים, וההשערה בפרק א' הייתה שבדיוק שם קיים החסר: אין מנגנון מעקב אחר צינור ה-5 יחידות ואין נוהל מתועד להחלטת הורדת רמה.</w:t>
      </w:r>
    </w:p>
    <w:p>
      <w:pPr>
        <w:bidi/>
        <w:spacing w:after="120" w:line="360"/>
        <w:jc w:val="both"/>
      </w:pPr>
      <w:r>
        <w:rPr>
          <w:rFonts w:ascii="David" w:cs="David" w:eastAsia="David" w:hAnsi="David"/>
          <w:sz w:val="24"/>
          <w:szCs w:val="24"/>
          <w:rtl/>
        </w:rPr>
        <w:t xml:space="preserve">שילוב עדשת הניהול על פי ערכים נעשה בתיבה אחת בלבד, תיבת המטרות. גישה זו בוחנת את הפער בין הערכים המוצהרים לערכים הנחיים בפועל, ומשמשת לעיצוב או לשינוי תרבות ארגונית (אמבר, 2026). היא נדרשת כאן משום שהסוגייה מנוסחת כפער בין זהות מוצהרת, בית ספר "למדעים ואמנויות", לבין תפוקה בפועל, ופער כזה הוא ערכי ולא רק תפעולי. השילוב נעשה במכוון בהיקף מצומצם, כדי שלא ליצור אבחון כפול ומסורבל.</w:t>
      </w:r>
    </w:p>
    <w:p>
      <w:pPr>
        <w:bidi/>
        <w:spacing w:after="120" w:before="240" w:line="360"/>
        <w:jc w:val="right"/>
      </w:pPr>
      <w:r>
        <w:rPr>
          <w:rFonts w:ascii="David" w:cs="David" w:eastAsia="David" w:hAnsi="David"/>
          <w:b/>
          <w:bCs/>
          <w:sz w:val="26"/>
          <w:szCs w:val="26"/>
          <w:rtl/>
        </w:rPr>
        <w:t xml:space="preserve">ב.2 תוכנית מדידה לשלב האבחון</w:t>
      </w:r>
    </w:p>
    <w:p>
      <w:pPr>
        <w:bidi/>
        <w:spacing w:after="120" w:line="360"/>
        <w:jc w:val="both"/>
      </w:pPr>
      <w:r>
        <w:rPr>
          <w:rFonts w:ascii="David" w:cs="David" w:eastAsia="David" w:hAnsi="David"/>
          <w:sz w:val="24"/>
          <w:szCs w:val="24"/>
          <w:rtl/>
        </w:rPr>
        <w:t xml:space="preserve">תוכנית המדידה מניחה אבחון מלא בבית הספר, ומפרטת עבור כל רכיב במודל את המידע שיש ללמוד, את מקורות המידע ואת כלי המחקר. התוכנית משלבת נתונים כמותיים ואיכותניים, מתוך הבנה שהראשונים מתארים את גודל הפער והאחרונים מסבירים את הסיבות לו (אמבר, 2026). בכל הכלים תיאסף גם נקודת מוצא, שכן ללא מדידת בסיס לא ניתן יהיה להעריך את אפקטיביות ההתערבות בהמשך.</w:t>
      </w:r>
    </w:p>
    <w:p>
      <w:pPr>
        <w:bidi/>
        <w:spacing w:after="80" w:before="160" w:line="300"/>
        <w:jc w:val="right"/>
      </w:pPr>
      <w:r>
        <w:rPr>
          <w:rFonts w:ascii="David" w:cs="David" w:eastAsia="David" w:hAnsi="David"/>
          <w:b/>
          <w:bCs/>
          <w:sz w:val="22"/>
          <w:szCs w:val="22"/>
          <w:rtl/>
        </w:rPr>
        <w:t xml:space="preserve">טבלה 5: תוכנית מדידה לשלב האבחון</w:t>
      </w:r>
    </w:p>
    <w:tbl>
      <w:tblPr>
        <w:bidiVisual/>
        <w:tblW w:type="dxa" w:w="9060"/>
        <w:tblBorders>
          <w:top w:val="single" w:color="8496B0" w:sz="4"/>
          <w:left w:val="single" w:color="8496B0" w:sz="4"/>
          <w:bottom w:val="single" w:color="8496B0" w:sz="4"/>
          <w:right w:val="single" w:color="8496B0" w:sz="4"/>
          <w:insideH w:val="single" w:color="B4C6E7" w:sz="2"/>
          <w:insideV w:val="single" w:color="B4C6E7" w:sz="2"/>
        </w:tblBorders>
      </w:tblPr>
      <w:tblGrid>
        <w:gridCol w:w="1150"/>
        <w:gridCol w:w="2450"/>
        <w:gridCol w:w="2200"/>
        <w:gridCol w:w="1750"/>
        <w:gridCol w:w="1510"/>
      </w:tblGrid>
      <w:tr>
        <w:trPr>
          <w:tblHeader/>
        </w:trPr>
        <w:tc>
          <w:tcPr>
            <w:tcW w:type="dxa" w:w="115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רכיב במודל</w:t>
            </w:r>
          </w:p>
        </w:tc>
        <w:tc>
          <w:tcPr>
            <w:tcW w:type="dxa" w:w="245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מה רוצים ללמוד</w:t>
            </w:r>
          </w:p>
        </w:tc>
        <w:tc>
          <w:tcPr>
            <w:tcW w:type="dxa" w:w="22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מקורות מידע</w:t>
            </w:r>
          </w:p>
        </w:tc>
        <w:tc>
          <w:tcPr>
            <w:tcW w:type="dxa" w:w="175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כלי מחקר</w:t>
            </w:r>
          </w:p>
        </w:tc>
        <w:tc>
          <w:tcPr>
            <w:tcW w:type="dxa" w:w="151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החיבור למודל</w:t>
            </w:r>
          </w:p>
        </w:tc>
      </w:tr>
      <w:tr>
        <w:tc>
          <w:tcPr>
            <w:tcW w:type="dxa" w:w="115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מטרות (כולל עדשת הערכים)</w:t>
            </w:r>
          </w:p>
        </w:tc>
        <w:tc>
          <w:tcPr>
            <w:tcW w:type="dxa" w:w="2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כיצד מוגדרת הצלחה בבית הספר; האם קיים יעד מספרי ל-5 יחידות מתמטיקה; מהו הפער בין הזהות המוצהרת "למדעים" לבין הציפייה בפועל מתלמידים.</w:t>
            </w:r>
          </w:p>
        </w:tc>
        <w:tc>
          <w:tcPr>
            <w:tcW w:type="dxa" w:w="22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מסמכי תוכנית עבודה שנתית ויעדי בית הספר; אתר בית הספר וחומרי שיווק; הנהלה ורכזי מקצוע.</w:t>
            </w:r>
          </w:p>
        </w:tc>
        <w:tc>
          <w:tcPr>
            <w:tcW w:type="dxa" w:w="17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ניתוח מסמכים; ראיונות עומק עם המנהלת ושלושה רכזים; שאלון עמדות קצר לסגל על הגדרת הצלחה.</w:t>
            </w:r>
          </w:p>
        </w:tc>
        <w:tc>
          <w:tcPr>
            <w:tcW w:type="dxa" w:w="15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בוחן ישירות את בעיית השורש: פער בין מטרה מוצהרת למטרה מונחית בפועל.</w:t>
            </w:r>
          </w:p>
        </w:tc>
      </w:tr>
      <w:tr>
        <w:tc>
          <w:tcPr>
            <w:tcW w:type="dxa" w:w="115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מבנה</w:t>
            </w:r>
          </w:p>
        </w:tc>
        <w:tc>
          <w:tcPr>
            <w:tcW w:type="dxa" w:w="2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מתי וכיצד נקבעות ההקבצות; כמה נקודות החלטה קיימות בין ט' לי"ב; מי מוסמך להחליט על שינוי רמה.</w:t>
            </w:r>
          </w:p>
        </w:tc>
        <w:tc>
          <w:tcPr>
            <w:tcW w:type="dxa" w:w="22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נוהלי הקבצה; מערכת שעות; רשימות כיתות לאורך ארבע שנים.</w:t>
            </w:r>
          </w:p>
        </w:tc>
        <w:tc>
          <w:tcPr>
            <w:tcW w:type="dxa" w:w="17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ניתוח מסמכים ונהלים; מיפוי תהליך מלא של מסלול התלמיד; ראיון עם רכזת פדגוגית.</w:t>
            </w:r>
          </w:p>
        </w:tc>
        <w:tc>
          <w:tcPr>
            <w:tcW w:type="dxa" w:w="15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מאתר את נקודות המיון המבניות שבהן מצטמצם הצינור.</w:t>
            </w:r>
          </w:p>
        </w:tc>
      </w:tr>
      <w:tr>
        <w:tc>
          <w:tcPr>
            <w:tcW w:type="dxa" w:w="115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יחסים</w:t>
            </w:r>
          </w:p>
        </w:tc>
        <w:tc>
          <w:tcPr>
            <w:tcW w:type="dxa" w:w="2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איכות שיתוף הפעולה בין צוות המתמטיקה, היועצות והמחנכים; כיצד מתנהלת בפועל שיחת הורדת הרמה.</w:t>
            </w:r>
          </w:p>
        </w:tc>
        <w:tc>
          <w:tcPr>
            <w:tcW w:type="dxa" w:w="22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מורי מתמטיקה; יועצות; מחנכי ט' וי'; תלמידים שירדו רמה.</w:t>
            </w:r>
          </w:p>
        </w:tc>
        <w:tc>
          <w:tcPr>
            <w:tcW w:type="dxa" w:w="17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שתי קבוצות מיקוד, אחת לסגל ואחת לתלמידים; תצפית בישיבת צוות שכבתית.</w:t>
            </w:r>
          </w:p>
        </w:tc>
        <w:tc>
          <w:tcPr>
            <w:tcW w:type="dxa" w:w="15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חושף את הדינמיקה הבין-אישית שבה מתקבלת ההחלטה הקריטית.</w:t>
            </w:r>
          </w:p>
        </w:tc>
      </w:tr>
      <w:tr>
        <w:tc>
          <w:tcPr>
            <w:tcW w:type="dxa" w:w="115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תגמולים</w:t>
            </w:r>
          </w:p>
        </w:tc>
        <w:tc>
          <w:tcPr>
            <w:tcW w:type="dxa" w:w="2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על מה מקבלים מורים ורכזים הכרה; האם קיים תמריץ, פורמלי או סמלי, לשמירת תלמיד ב-5 יחידות; מה נחשב הצלחה בעיני הסגל.</w:t>
            </w:r>
          </w:p>
        </w:tc>
        <w:tc>
          <w:tcPr>
            <w:tcW w:type="dxa" w:w="22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נהלי הערכת מורים; פרוטוקולי ישיבות; סגל ההוראה.</w:t>
            </w:r>
          </w:p>
        </w:tc>
        <w:tc>
          <w:tcPr>
            <w:tcW w:type="dxa" w:w="17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שאלון סגל אנונימי; ראיונות; ניתוח תוכן של פרוטוקולים ושל טקסי הוקרה.</w:t>
            </w:r>
          </w:p>
        </w:tc>
        <w:tc>
          <w:tcPr>
            <w:tcW w:type="dxa" w:w="15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התיבה המרכזית לאישוש או להפרכת השערת התמריצים.</w:t>
            </w:r>
          </w:p>
        </w:tc>
      </w:tr>
      <w:tr>
        <w:tc>
          <w:tcPr>
            <w:tcW w:type="dxa" w:w="115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מנהיגות</w:t>
            </w:r>
          </w:p>
        </w:tc>
        <w:tc>
          <w:tcPr>
            <w:tcW w:type="dxa" w:w="2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עד כמה ההנהלה מתעדפת את הסוגייה בפועל; מי נושא באחריות לצינור ה-5 יחידות; כיצד מתמודדת ההנהלה עם המתח בין זכאות לעומק.</w:t>
            </w:r>
          </w:p>
        </w:tc>
        <w:tc>
          <w:tcPr>
            <w:tcW w:type="dxa" w:w="22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המנהלת וסגניה; יומן ישיבות; מפקח.</w:t>
            </w:r>
          </w:p>
        </w:tc>
        <w:tc>
          <w:tcPr>
            <w:tcW w:type="dxa" w:w="17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ראיונות עומק; ניתוח סדר יום של ישיבות הנהלה ברבעון.</w:t>
            </w:r>
          </w:p>
        </w:tc>
        <w:tc>
          <w:tcPr>
            <w:tcW w:type="dxa" w:w="15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בוחן אם קיימת בעלות ניהולית, שהיעדרה זוהה כסיבה בפרק א'.</w:t>
            </w:r>
          </w:p>
        </w:tc>
      </w:tr>
      <w:tr>
        <w:tc>
          <w:tcPr>
            <w:tcW w:type="dxa" w:w="115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מנגנוני עזר</w:t>
            </w:r>
          </w:p>
        </w:tc>
        <w:tc>
          <w:tcPr>
            <w:tcW w:type="dxa" w:w="2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אילו נתונים נאספים על תלמידי 5 יחידות; האם קיים מעקב אחר נשירה בין שכבות; אילו נתונים מגיעים מחטיבת הביניים.</w:t>
            </w:r>
          </w:p>
        </w:tc>
        <w:tc>
          <w:tcPr>
            <w:tcW w:type="dxa" w:w="22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מערכת המשוב הבית ספרית; קובצי ציונים; רכזת נתונים; חטיבת הביניים.</w:t>
            </w:r>
          </w:p>
        </w:tc>
        <w:tc>
          <w:tcPr>
            <w:tcW w:type="dxa" w:w="17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ניתוח נתונים היסטורי של שלושה מחזורים; מיפוי מערכות מידע קיימות.</w:t>
            </w:r>
          </w:p>
        </w:tc>
        <w:tc>
          <w:tcPr>
            <w:tcW w:type="dxa" w:w="15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מאתר את החסר התשתיתי המונע ניהול הצינור ומדידת שינוי.</w:t>
            </w:r>
          </w:p>
        </w:tc>
      </w:tr>
      <w:tr>
        <w:tc>
          <w:tcPr>
            <w:tcW w:type="dxa" w:w="115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רכיב חוצה: התלמידים</w:t>
            </w:r>
          </w:p>
        </w:tc>
        <w:tc>
          <w:tcPr>
            <w:tcW w:type="dxa" w:w="2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מה מניע תלמיד גבולי להישאר או לרדת; מהי תפיסת המסוגלות שלו; מה יודעים ההורים על ערך בגרות ההייטק.</w:t>
            </w:r>
          </w:p>
        </w:tc>
        <w:tc>
          <w:tcPr>
            <w:tcW w:type="dxa" w:w="22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תלמידי ט' עד י"ב; הורים; תלמידים שירדו רמה בשנתיים האחרונות.</w:t>
            </w:r>
          </w:p>
        </w:tc>
        <w:tc>
          <w:tcPr>
            <w:tcW w:type="dxa" w:w="17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שאלון תלמידים בשכבות ט' וי'; עשרה ראיונות עם תלמידים שירדו רמה; קבוצת מיקוד להורים.</w:t>
            </w:r>
          </w:p>
        </w:tc>
        <w:tc>
          <w:tcPr>
            <w:tcW w:type="dxa" w:w="15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מספק את קול קהל היעד, שבלעדיו האבחון נשאר ניהולי בלבד.</w:t>
            </w:r>
          </w:p>
        </w:tc>
      </w:tr>
      <w:tr>
        <w:tc>
          <w:tcPr>
            <w:tcW w:type="dxa" w:w="115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השוואה פנימית: אנגלית</w:t>
            </w:r>
          </w:p>
        </w:tc>
        <w:tc>
          <w:tcPr>
            <w:tcW w:type="dxa" w:w="2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מה עושה צוות האנגלית שמייצר 49.2% ב-5 יחידות; אילו פרקטיקות ניתנות להעברה למתמטיקה.</w:t>
            </w:r>
          </w:p>
        </w:tc>
        <w:tc>
          <w:tcPr>
            <w:tcW w:type="dxa" w:w="22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רכזת ומורי אנגלית; נתוני מסלול הלומדים באנגלית.</w:t>
            </w:r>
          </w:p>
        </w:tc>
        <w:tc>
          <w:tcPr>
            <w:tcW w:type="dxa" w:w="17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ראיונות עם צוות האנגלית; סיורי למידה בשיעורים; השוואת נתוני שני המקצועות.</w:t>
            </w:r>
          </w:p>
        </w:tc>
        <w:tc>
          <w:tcPr>
            <w:tcW w:type="dxa" w:w="15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יוצר קבוצת השוואה פנימית ומאפשר לבודד את הגורם הארגוני מהגורם הדמוגרפי.</w:t>
            </w:r>
          </w:p>
        </w:tc>
      </w:tr>
    </w:tbl>
    <w:p>
      <w:pPr>
        <w:bidi/>
        <w:spacing w:after="120" w:line="360"/>
        <w:jc w:val="both"/>
      </w:pPr>
      <w:r>
        <w:rPr>
          <w:rFonts w:ascii="David" w:cs="David" w:eastAsia="David" w:hAnsi="David"/>
          <w:sz w:val="24"/>
          <w:szCs w:val="24"/>
          <w:rtl/>
        </w:rPr>
        <w:t xml:space="preserve">היגיון הבחירה בכלים נובע מאופי הסוגייה. הנתונים הכמותיים, ובראשם ניתוח שלושה מחזורים אחורה, נדרשים כדי לכמת את קצב הנשירה מ-5 יחידות ולזהות באיזו שכבה בדיוק היא מתרחשת. הכלים האיכותניים נדרשים משום שהשערת השורש עוסקת בשיקול דעת ובתמריצים סמויים, ואלה אינם נחשפים בשאלון. ההשוואה הפנימית בין מתמטיקה לאנגלית היא הרכיב שמעניק לאבחון תוקף: היא מאפשרת לבחון את ההשערה בתוך אותו ארגון ואותה אוכלוסייה, ולכן היא חזקה יותר מהשוואה לבתי ספר אחרים.</w:t>
      </w:r>
    </w:p>
    <w:p>
      <w:r>
        <w:br w:type="page"/>
      </w:r>
    </w:p>
    <w:p>
      <w:pPr>
        <w:bidi/>
        <w:spacing w:after="200" w:before="0" w:line="360"/>
        <w:jc w:val="right"/>
      </w:pPr>
      <w:r>
        <w:rPr>
          <w:rFonts w:ascii="David" w:cs="David" w:eastAsia="David" w:hAnsi="David"/>
          <w:b/>
          <w:bCs/>
          <w:sz w:val="30"/>
          <w:szCs w:val="30"/>
          <w:rtl/>
        </w:rPr>
        <w:t xml:space="preserve">פרק ג': הגדרת מטרות ההתערבות ותכנון חלופות</w:t>
      </w:r>
    </w:p>
    <w:p>
      <w:pPr>
        <w:bidi/>
        <w:spacing w:after="120" w:line="360"/>
        <w:jc w:val="both"/>
      </w:pPr>
      <w:r>
        <w:rPr>
          <w:rFonts w:ascii="David" w:cs="David" w:eastAsia="David" w:hAnsi="David"/>
          <w:sz w:val="24"/>
          <w:szCs w:val="24"/>
          <w:rtl/>
        </w:rPr>
        <w:t xml:space="preserve">מאחר שלא נאספו נתונים בפועל, המטרות המוצגות בפרק זה נגזרות מן ההיגיון של האבחון ולא מממצאיו. לכל מטרה מוצגת ההשערה שעליה היא נשענת, כך שבעת ביצוע האבחון בפועל ניתן יהיה לאשש או להפריך אותה ולעדכן את התוכנית בהתאם.</w:t>
      </w:r>
    </w:p>
    <w:p>
      <w:pPr>
        <w:bidi/>
        <w:spacing w:after="120" w:before="240" w:line="360"/>
        <w:jc w:val="right"/>
      </w:pPr>
      <w:r>
        <w:rPr>
          <w:rFonts w:ascii="David" w:cs="David" w:eastAsia="David" w:hAnsi="David"/>
          <w:b/>
          <w:bCs/>
          <w:sz w:val="26"/>
          <w:szCs w:val="26"/>
          <w:rtl/>
        </w:rPr>
        <w:t xml:space="preserve">ג.1 מטרת-על</w:t>
      </w:r>
    </w:p>
    <w:p>
      <w:pPr>
        <w:bidi/>
        <w:spacing w:after="120" w:line="360"/>
        <w:jc w:val="both"/>
      </w:pPr>
      <w:r>
        <w:rPr>
          <w:rFonts w:ascii="David" w:cs="David" w:eastAsia="David" w:hAnsi="David"/>
          <w:sz w:val="24"/>
          <w:szCs w:val="24"/>
          <w:rtl/>
        </w:rPr>
        <w:t xml:space="preserve">מטרת-העל של ההתערבות: להפוך את הזהות המדעית המוצהרת של בית הספר לתפוקה נמדדת, באמצעות הרחבה מתמשכת של מעגל התלמידים המסיימים 5 יחידות מתמטיקה ובגרות הייטק, בלי לפגוע בשיעור הזכאות הגבוה שבית הספר השיג.</w:t>
      </w:r>
    </w:p>
    <w:p>
      <w:pPr>
        <w:bidi/>
        <w:spacing w:after="120" w:line="360"/>
        <w:jc w:val="both"/>
      </w:pPr>
      <w:r>
        <w:rPr>
          <w:rFonts w:ascii="David" w:cs="David" w:eastAsia="David" w:hAnsi="David"/>
          <w:sz w:val="24"/>
          <w:szCs w:val="24"/>
          <w:rtl/>
        </w:rPr>
        <w:t xml:space="preserve">ההשערה שבבסיס מטרת-העל: החסם המרכזי אינו מסוגלות התלמידים ואינו איכות ההוראה, אלא מערכת המדידה והתמריצים המגדירה הצלחה כזכאות ולכן דוחפת להורדת רמה. ההשערה נשענת על שלושה אדנים שהוצגו במבוא ובפרק א': הפער בין 49.2% באנגלית ל-8.5% במתמטיקה באותה אוכלוסייה בדיוק; שיעור ההצטיינות הגבוה, המעיד על יכולת ארגונית להוביל למצוינות; ושיעור הנשירה הנמוך במיוחד, המעיד על מערכת ליווי אישי חזקה שאפשר להסב אותה למטרה זו. ניסוח המטרה כולל במפורש את השמירה על שיעור הזכאות, משום שהתעלמות מכך תעורר את ההתנגדות המרכזית הצפויה, ותשחזר את אותו מתח שיצר את הבעיה מלכתחילה.</w:t>
      </w:r>
    </w:p>
    <w:p>
      <w:pPr>
        <w:bidi/>
        <w:spacing w:after="120" w:before="240" w:line="360"/>
        <w:jc w:val="right"/>
      </w:pPr>
      <w:r>
        <w:rPr>
          <w:rFonts w:ascii="David" w:cs="David" w:eastAsia="David" w:hAnsi="David"/>
          <w:b/>
          <w:bCs/>
          <w:sz w:val="26"/>
          <w:szCs w:val="26"/>
          <w:rtl/>
        </w:rPr>
        <w:t xml:space="preserve">ג.2 תתי-מטרות</w:t>
      </w:r>
    </w:p>
    <w:p>
      <w:pPr>
        <w:bidi/>
        <w:spacing w:after="80" w:before="160" w:line="300"/>
        <w:jc w:val="right"/>
      </w:pPr>
      <w:r>
        <w:rPr>
          <w:rFonts w:ascii="David" w:cs="David" w:eastAsia="David" w:hAnsi="David"/>
          <w:b/>
          <w:bCs/>
          <w:sz w:val="22"/>
          <w:szCs w:val="22"/>
          <w:rtl/>
        </w:rPr>
        <w:t xml:space="preserve">טבלה 6: תתי-מטרות וההשערות שבבסיסן</w:t>
      </w:r>
    </w:p>
    <w:tbl>
      <w:tblPr>
        <w:bidiVisual/>
        <w:tblW w:type="dxa" w:w="9060"/>
        <w:tblBorders>
          <w:top w:val="single" w:color="8496B0" w:sz="4"/>
          <w:left w:val="single" w:color="8496B0" w:sz="4"/>
          <w:bottom w:val="single" w:color="8496B0" w:sz="4"/>
          <w:right w:val="single" w:color="8496B0" w:sz="4"/>
          <w:insideH w:val="single" w:color="B4C6E7" w:sz="2"/>
          <w:insideV w:val="single" w:color="B4C6E7" w:sz="2"/>
        </w:tblBorders>
      </w:tblPr>
      <w:tblGrid>
        <w:gridCol w:w="900"/>
        <w:gridCol w:w="3600"/>
        <w:gridCol w:w="4560"/>
      </w:tblGrid>
      <w:tr>
        <w:trPr>
          <w:tblHeader/>
        </w:trPr>
        <w:tc>
          <w:tcPr>
            <w:tcW w:type="dxa" w:w="9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מס'</w:t>
            </w:r>
          </w:p>
        </w:tc>
        <w:tc>
          <w:tcPr>
            <w:tcW w:type="dxa" w:w="36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תת-מטרה</w:t>
            </w:r>
          </w:p>
        </w:tc>
        <w:tc>
          <w:tcPr>
            <w:tcW w:type="dxa" w:w="456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ההשערה שבבסיסה</w:t>
            </w:r>
          </w:p>
        </w:tc>
      </w:tr>
      <w:tr>
        <w:tc>
          <w:tcPr>
            <w:tcW w:type="dxa" w:w="9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1</w:t>
            </w:r>
          </w:p>
        </w:tc>
        <w:tc>
          <w:tcPr>
            <w:tcW w:type="dxa" w:w="36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לשנות את הגדרת ההצלחה הבית ספרית כך שתכלול יעד מספרי מוצהר לשיעור מסיימי 5 יחידות מתמטיקה, לצד יעד הזכאות.</w:t>
            </w:r>
          </w:p>
        </w:tc>
        <w:tc>
          <w:tcPr>
            <w:tcW w:type="dxa" w:w="45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כל עוד המדד היחיד הוא זכאות, כל שחקן בשרשרת יפעל באופן רציונלי להורדת רמה. שינוי המדד הוא תנאי מקדים לכל שינוי אחר.</w:t>
            </w:r>
          </w:p>
        </w:tc>
      </w:tr>
      <w:tr>
        <w:tc>
          <w:tcPr>
            <w:tcW w:type="dxa" w:w="9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2</w:t>
            </w:r>
          </w:p>
        </w:tc>
        <w:tc>
          <w:tcPr>
            <w:tcW w:type="dxa" w:w="36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לצמצם את הנשירה מרמת 5 יחידות בין שכבה ט' לשכבה י"א, ולהפוך את המעבר בין הרמות לדו-כיווני.</w:t>
            </w:r>
          </w:p>
        </w:tc>
        <w:tc>
          <w:tcPr>
            <w:tcW w:type="dxa" w:w="45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הצינור מצטמצם לא בשל אי-כניסה אליו אלא בשל יציאה ממנו, ומשום שהיציאה חד-כיוונית וללא דרך חזרה היא נתפסת כהחלטה סופית ומצטברת.</w:t>
            </w:r>
          </w:p>
        </w:tc>
      </w:tr>
      <w:tr>
        <w:tc>
          <w:tcPr>
            <w:tcW w:type="dxa" w:w="9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3</w:t>
            </w:r>
          </w:p>
        </w:tc>
        <w:tc>
          <w:tcPr>
            <w:tcW w:type="dxa" w:w="36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להעביר לצוות המתמטיקה פרקטיקות מוכחות מתוך בית הספר עצמו, מצוות האנגלית.</w:t>
            </w:r>
          </w:p>
        </w:tc>
        <w:tc>
          <w:tcPr>
            <w:tcW w:type="dxa" w:w="45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בית הספר כבר מחזיק בידע מעשי המייצר צינור מצוינות רחב במקצוע אחד. ידע פנימי נתקל בפחות התנגדות מידע חיצוני, ואינו דורש רכש.</w:t>
            </w:r>
          </w:p>
        </w:tc>
      </w:tr>
      <w:tr>
        <w:tc>
          <w:tcPr>
            <w:tcW w:type="dxa" w:w="9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4</w:t>
            </w:r>
          </w:p>
        </w:tc>
        <w:tc>
          <w:tcPr>
            <w:tcW w:type="dxa" w:w="36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להקים מנגנון נתונים לזיהוי מוקדם ולניטור שוטף של תלמידים בסיכון נשירה מ-5 יחידות.</w:t>
            </w:r>
          </w:p>
        </w:tc>
        <w:tc>
          <w:tcPr>
            <w:tcW w:type="dxa" w:w="45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כיום הנשירה מתגלה בדיעבד ולכן אי אפשר להתערב בזמן. זיהוי מוקדם מאפשר טיפול פרטני בקבוצת ההכרעה, שהיא קטנה יחסית.</w:t>
            </w:r>
          </w:p>
        </w:tc>
      </w:tr>
      <w:tr>
        <w:tc>
          <w:tcPr>
            <w:tcW w:type="dxa" w:w="9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5</w:t>
            </w:r>
          </w:p>
        </w:tc>
        <w:tc>
          <w:tcPr>
            <w:tcW w:type="dxa" w:w="36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לשנות את תפיסת המסוגלות ואת המידע שבידי תלמידים גבוליים ומשפחותיהם ביחס למתמטיקה מורחבת.</w:t>
            </w:r>
          </w:p>
        </w:tc>
        <w:tc>
          <w:tcPr>
            <w:tcW w:type="dxa" w:w="45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חלק מן ההחלטה לרדת רמה מתקבל מתוך חוסר מידע על ערך המסלול ומתוך חשש, ולא מתוך חוסר יכולת.</w:t>
            </w:r>
          </w:p>
        </w:tc>
      </w:tr>
    </w:tbl>
    <w:p>
      <w:r>
        <w:br w:type="page"/>
      </w:r>
    </w:p>
    <w:p>
      <w:pPr>
        <w:bidi/>
        <w:spacing w:after="120" w:before="240" w:line="360"/>
        <w:jc w:val="right"/>
      </w:pPr>
      <w:r>
        <w:rPr>
          <w:rFonts w:ascii="David" w:cs="David" w:eastAsia="David" w:hAnsi="David"/>
          <w:b/>
          <w:bCs/>
          <w:sz w:val="26"/>
          <w:szCs w:val="26"/>
          <w:rtl/>
        </w:rPr>
        <w:t xml:space="preserve">ג.3 חלופות להתערבות</w:t>
      </w:r>
    </w:p>
    <w:p>
      <w:pPr>
        <w:bidi/>
        <w:spacing w:after="120" w:line="360"/>
        <w:jc w:val="both"/>
      </w:pPr>
      <w:r>
        <w:rPr>
          <w:rFonts w:ascii="David" w:cs="David" w:eastAsia="David" w:hAnsi="David"/>
          <w:sz w:val="24"/>
          <w:szCs w:val="24"/>
          <w:rtl/>
        </w:rPr>
        <w:t xml:space="preserve">חמש החלופות שגובשו נבדלות זו מזו בסוג ההתערבות, לפי ארבעת הסוגים שנלמדו בקורס: התערבויות בתהליכים אנושיים, התערבויות בניהול משאבי אנוש, התערבויות טכנו-מבניות והתערבויות לשינוי אסטרטגי (אמבר, 2026; Cummings, 2019). הן אינן חמש גרסאות של אותו פתרון: אחת משנה מדידה, אחת משנה מבנה, אחת מעבירה ידע, אחת מוסיפה מנגנון נתונים ואחת פועלת על תפיסות. יחד הן מכסות את מרבית קטגוריות תרשים עצם הדג.</w:t>
      </w:r>
    </w:p>
    <w:p>
      <w:pPr>
        <w:bidi/>
        <w:spacing w:after="80" w:before="160" w:line="300"/>
        <w:jc w:val="right"/>
      </w:pPr>
      <w:r>
        <w:rPr>
          <w:rFonts w:ascii="David" w:cs="David" w:eastAsia="David" w:hAnsi="David"/>
          <w:b/>
          <w:bCs/>
          <w:sz w:val="22"/>
          <w:szCs w:val="22"/>
          <w:rtl/>
        </w:rPr>
        <w:t xml:space="preserve">טבלה 7: חלופות להתערבות</w:t>
      </w:r>
    </w:p>
    <w:p>
      <w:pPr>
        <w:bidi/>
        <w:spacing w:after="80" w:before="160" w:line="300"/>
        <w:jc w:val="right"/>
      </w:pPr>
      <w:r>
        <w:rPr>
          <w:rFonts w:ascii="David" w:cs="David" w:eastAsia="David" w:hAnsi="David"/>
          <w:b/>
          <w:bCs/>
          <w:sz w:val="22"/>
          <w:szCs w:val="22"/>
          <w:rtl/>
        </w:rPr>
        <w:t xml:space="preserve">טבלה 7: תמונת החלופות במבט על</w:t>
      </w:r>
    </w:p>
    <w:tbl>
      <w:tblPr>
        <w:bidiVisual/>
        <w:tblW w:type="dxa" w:w="9060"/>
        <w:tblBorders>
          <w:top w:val="single" w:color="8496B0" w:sz="4"/>
          <w:left w:val="single" w:color="8496B0" w:sz="4"/>
          <w:bottom w:val="single" w:color="8496B0" w:sz="4"/>
          <w:right w:val="single" w:color="8496B0" w:sz="4"/>
          <w:insideH w:val="single" w:color="B4C6E7" w:sz="2"/>
          <w:insideV w:val="single" w:color="B4C6E7" w:sz="2"/>
        </w:tblBorders>
      </w:tblPr>
      <w:tblGrid>
        <w:gridCol w:w="1500"/>
        <w:gridCol w:w="1700"/>
        <w:gridCol w:w="1450"/>
        <w:gridCol w:w="4410"/>
      </w:tblGrid>
      <w:tr>
        <w:trPr>
          <w:tblHeader/>
        </w:trPr>
        <w:tc>
          <w:tcPr>
            <w:tcW w:type="dxa" w:w="15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שם החלופה</w:t>
            </w:r>
          </w:p>
        </w:tc>
        <w:tc>
          <w:tcPr>
            <w:tcW w:type="dxa" w:w="17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רכיב ההתערבות</w:t>
            </w:r>
          </w:p>
        </w:tc>
        <w:tc>
          <w:tcPr>
            <w:tcW w:type="dxa" w:w="145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תת-מטרה</w:t>
            </w:r>
          </w:p>
        </w:tc>
        <w:tc>
          <w:tcPr>
            <w:tcW w:type="dxa" w:w="441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בשורה אחת</w:t>
            </w:r>
          </w:p>
        </w:tc>
      </w:tr>
      <w:tr>
        <w:tc>
          <w:tcPr>
            <w:tcW w:type="dxa" w:w="15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א. יעד כפול: עומק לצד רוחב</w:t>
            </w:r>
          </w:p>
        </w:tc>
        <w:tc>
          <w:tcPr>
            <w:tcW w:type="dxa" w:w="17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שינוי אסטרטגי</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1</w:t>
            </w:r>
          </w:p>
        </w:tc>
        <w:tc>
          <w:tcPr>
            <w:tcW w:type="dxa" w:w="44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עיגון יעד מספרי ל-5 יחידות בתוכנית העבודה, לצד יעד הזכאות.</w:t>
            </w:r>
          </w:p>
        </w:tc>
      </w:tr>
      <w:tr>
        <w:tc>
          <w:tcPr>
            <w:tcW w:type="dxa" w:w="15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ב. דלת מסתובבת בהקבצות</w:t>
            </w:r>
          </w:p>
        </w:tc>
        <w:tc>
          <w:tcPr>
            <w:tcW w:type="dxa" w:w="17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טכנו-מבנית</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2</w:t>
            </w:r>
          </w:p>
        </w:tc>
        <w:tc>
          <w:tcPr>
            <w:tcW w:type="dxa" w:w="44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הפיכת המעבר בין הרמות לדו-כיווני, עם שלוש נקודות החלטה במקום אחת.</w:t>
            </w:r>
          </w:p>
        </w:tc>
      </w:tr>
      <w:tr>
        <w:tc>
          <w:tcPr>
            <w:tcW w:type="dxa" w:w="15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ג. מנוף חמש</w:t>
            </w:r>
          </w:p>
        </w:tc>
        <w:tc>
          <w:tcPr>
            <w:tcW w:type="dxa" w:w="17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תהליכים אנושיים</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3</w:t>
            </w:r>
          </w:p>
        </w:tc>
        <w:tc>
          <w:tcPr>
            <w:tcW w:type="dxa" w:w="44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העברת הפרקטיקות שמייצרות 49.2% באנגלית אל צוות המתמטיקה.</w:t>
            </w:r>
          </w:p>
        </w:tc>
      </w:tr>
      <w:tr>
        <w:tc>
          <w:tcPr>
            <w:tcW w:type="dxa" w:w="15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ד. לוח מחוונים לצינור</w:t>
            </w:r>
          </w:p>
        </w:tc>
        <w:tc>
          <w:tcPr>
            <w:tcW w:type="dxa" w:w="17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טכנו-מבנית</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4</w:t>
            </w:r>
          </w:p>
        </w:tc>
        <w:tc>
          <w:tcPr>
            <w:tcW w:type="dxa" w:w="44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זיהוי מוקדם וניטור חודשי של תלמידים בסיכון נשירה מ-5 יחידות.</w:t>
            </w:r>
          </w:p>
        </w:tc>
      </w:tr>
      <w:tr>
        <w:tc>
          <w:tcPr>
            <w:tcW w:type="dxa" w:w="15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ה. מסלול מידע וחונכות</w:t>
            </w:r>
          </w:p>
        </w:tc>
        <w:tc>
          <w:tcPr>
            <w:tcW w:type="dxa" w:w="17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משאבי אנוש</w:t>
            </w:r>
          </w:p>
        </w:tc>
        <w:tc>
          <w:tcPr>
            <w:tcW w:type="dxa" w:w="145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5</w:t>
            </w:r>
          </w:p>
        </w:tc>
        <w:tc>
          <w:tcPr>
            <w:tcW w:type="dxa" w:w="44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מידע וחונכות לתלמידים גבוליים ולהוריהם בנקודת ההחלטה.</w:t>
            </w:r>
          </w:p>
        </w:tc>
      </w:tr>
    </w:tbl>
    <w:p>
      <w:pPr>
        <w:bidi/>
        <w:spacing w:after="120" w:line="360"/>
        <w:jc w:val="both"/>
      </w:pPr>
      <w:r>
        <w:rPr>
          <w:rFonts w:ascii="David" w:cs="David" w:eastAsia="David" w:hAnsi="David"/>
          <w:sz w:val="24"/>
          <w:szCs w:val="24"/>
          <w:rtl/>
        </w:rPr>
        <w:t xml:space="preserve">להלן פירוט כל חלופה לפי הסעיפים שנלמדו בשיעור.</w:t>
      </w:r>
    </w:p>
    <w:p>
      <w:pPr>
        <w:bidi/>
        <w:spacing w:after="100" w:before="180" w:line="360"/>
        <w:jc w:val="right"/>
      </w:pPr>
      <w:r>
        <w:rPr>
          <w:rFonts w:ascii="David" w:cs="David" w:eastAsia="David" w:hAnsi="David"/>
          <w:b/>
          <w:bCs/>
          <w:sz w:val="24"/>
          <w:szCs w:val="24"/>
          <w:rtl/>
        </w:rPr>
        <w:t xml:space="preserve">חלופה א': יעד כפול, עומק לצד רוחב</w:t>
      </w:r>
    </w:p>
    <w:tbl>
      <w:tblPr>
        <w:bidiVisual/>
        <w:tblW w:type="dxa" w:w="9060"/>
        <w:tblBorders>
          <w:top w:val="single" w:color="8496B0" w:sz="4"/>
          <w:left w:val="single" w:color="8496B0" w:sz="4"/>
          <w:bottom w:val="single" w:color="8496B0" w:sz="4"/>
          <w:right w:val="single" w:color="8496B0" w:sz="4"/>
          <w:insideH w:val="single" w:color="B4C6E7" w:sz="2"/>
          <w:insideV w:val="single" w:color="B4C6E7" w:sz="2"/>
        </w:tblBorders>
      </w:tblPr>
      <w:tblGrid>
        <w:gridCol w:w="1750"/>
        <w:gridCol w:w="7310"/>
      </w:tblGrid>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רכיב ההתערבות</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התערבות לשינוי אסטרטגי</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תת-מטרה</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תת-מטרה 1: שינוי הגדרת ההצלחה הבית ספרית</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מהות והפעילויות</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עיגון יעד מספרי מדורג לשיעור מסיימי 5 יחידות מתמטיקה בתוכנית העבודה השנתית, לצד יעד הזכאות הקיים; הגדרת בעלות ניהולית מפורשת על צינור ה-5 יחידות לאורך ארבע השנים; דיווח רבעוני להנהלה ולהנהלת הרשת.</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הנחות על מנגנון ההשפעה</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מה שנמדד ומדווח מקבל תשומת לב ניהולית. שינוי המדד מסיט את שיקול הדעת בכל נקודות ההחלטה בשרשרת, בלי לחייב איש בשינוי דרכי הוראה.</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רוחב ההשפעה</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ארגון שלם</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משאבים נדרשים</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זמן הנהלה לניסוח ולמעקב; הסכמת הנהלת הרשת; גמול לבעל התפקיד הממונה. ללא תקציב ישיר משמעותי.</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סיכונים ומגבלות</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עלול להיתפס כלחץ למספרים ולייצר הימנעות מסיכון או הסטה של תלמידים חלשים. מחייב יעד ריאלי ומדורג ולא קפיצה. אינו מספק לבדו חלופה מעשית למורה בנקודת ההחלטה.</w:t>
            </w:r>
          </w:p>
        </w:tc>
      </w:tr>
    </w:tbl>
    <w:p>
      <w:pPr>
        <w:bidi/>
        <w:spacing w:after="100" w:before="180" w:line="360"/>
        <w:jc w:val="right"/>
      </w:pPr>
      <w:r>
        <w:rPr>
          <w:rFonts w:ascii="David" w:cs="David" w:eastAsia="David" w:hAnsi="David"/>
          <w:b/>
          <w:bCs/>
          <w:sz w:val="24"/>
          <w:szCs w:val="24"/>
          <w:rtl/>
        </w:rPr>
        <w:t xml:space="preserve">חלופה ב': דלת מסתובבת בהקבצות</w:t>
      </w:r>
    </w:p>
    <w:tbl>
      <w:tblPr>
        <w:bidiVisual/>
        <w:tblW w:type="dxa" w:w="9060"/>
        <w:tblBorders>
          <w:top w:val="single" w:color="8496B0" w:sz="4"/>
          <w:left w:val="single" w:color="8496B0" w:sz="4"/>
          <w:bottom w:val="single" w:color="8496B0" w:sz="4"/>
          <w:right w:val="single" w:color="8496B0" w:sz="4"/>
          <w:insideH w:val="single" w:color="B4C6E7" w:sz="2"/>
          <w:insideV w:val="single" w:color="B4C6E7" w:sz="2"/>
        </w:tblBorders>
      </w:tblPr>
      <w:tblGrid>
        <w:gridCol w:w="1750"/>
        <w:gridCol w:w="7310"/>
      </w:tblGrid>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רכיב ההתערבות</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התערבות טכנו-מבנית</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תת-מטרה</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תת-מטרה 2: צמצום הנשירה מרמת 5 יחידות</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מהות והפעילויות</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פיצול נקודת המיון היחידה בכיתה ט' לשלוש נקודות החלטה מתועדות; פתיחת מסלול חזרה מ-4 ל-5 יחידות בסוף כיתה י' ובאמצע כיתה י"א; הפעלת מודול גישור מרוכז לתלמידים החוזרים.</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הנחות על מנגנון ההשפעה</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כאשר ההחלטה אינה סופית, עלות הטעות יורדת עבור התלמיד ועבור המורה כאחד, ולכן פוחת התמריץ להוריד רמה מוקדם ומתוך חשש.</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רוחב ההשפעה</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שכבה ומספר כיתות</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משאבים נדרשים</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שעות הוראה למודול הגישור; גמישות בבניית מערכת השעות; עבודת רכזת פדגוגית; תיאום מול מורי המקצוע.</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סיכונים ומגבלות</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מורכבות מערכתית בבניית מערכת שעות; חשש מורים מהוראה בכיתות הטרוגניות; דורש רצף של שנתיים לפחות לפני שניתן לראות תוצאה, ולכן פגיע לשינויי סדר עדיפויות.</w:t>
            </w:r>
          </w:p>
        </w:tc>
      </w:tr>
    </w:tbl>
    <w:p>
      <w:pPr>
        <w:bidi/>
        <w:spacing w:after="100" w:before="180" w:line="360"/>
        <w:jc w:val="right"/>
      </w:pPr>
      <w:r>
        <w:rPr>
          <w:rFonts w:ascii="David" w:cs="David" w:eastAsia="David" w:hAnsi="David"/>
          <w:b/>
          <w:bCs/>
          <w:sz w:val="24"/>
          <w:szCs w:val="24"/>
          <w:rtl/>
        </w:rPr>
        <w:t xml:space="preserve">חלופה ג': מנוף חמש, העברת מודל האנגלית</w:t>
      </w:r>
    </w:p>
    <w:tbl>
      <w:tblPr>
        <w:bidiVisual/>
        <w:tblW w:type="dxa" w:w="9060"/>
        <w:tblBorders>
          <w:top w:val="single" w:color="8496B0" w:sz="4"/>
          <w:left w:val="single" w:color="8496B0" w:sz="4"/>
          <w:bottom w:val="single" w:color="8496B0" w:sz="4"/>
          <w:right w:val="single" w:color="8496B0" w:sz="4"/>
          <w:insideH w:val="single" w:color="B4C6E7" w:sz="2"/>
          <w:insideV w:val="single" w:color="B4C6E7" w:sz="2"/>
        </w:tblBorders>
      </w:tblPr>
      <w:tblGrid>
        <w:gridCol w:w="1750"/>
        <w:gridCol w:w="7310"/>
      </w:tblGrid>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רכיב ההתערבות</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התערבות בתהליכים אנושיים</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תת-מטרה</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תת-מטרה 3: העברת פרקטיקות מוכחות בתוך הארגון</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מהות והפעילויות</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פענוח מובנה של הפרקטיקות שמייצרות 49.2% זכאות ב-5 יחידות אנגלית, באמצעות ראיונות וסיורי למידה; הקמת קהילת למידה מקצועית משותפת לשני הצוותים; המרה של שתיים עד שלוש פרקטיקות לנהלי עבודה במתמטיקה והרצתן.</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הנחות על מנגנון ההשפעה</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הידע הדרוש כבר קיים בארגון, ולכן הפער אינו פער ידע אלא פער העברה. ידע פנימי נושא לגיטימציה מקצועית גבוהה ומעורר פחות התנגדות מאשר מודל שמיובא מבחוץ.</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רוחב ההשפעה</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מספר קבוצות</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משאבים נדרשים</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זמן ישיבות מוגדר ומוקצה במערכת; מנחה תהליך; הכרה פורמלית ותגמול סמלי לצוות האנגלית.</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סיכונים ומגבלות</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לא כל פרקטיקה ניתנת להעברה בין מקצועות; עלול לייצר תחרות או תחושת ביקורת בין הצוותים; דורש נכונות של צוות שאינו הנהנה הישיר מן התוכנית.</w:t>
            </w:r>
          </w:p>
        </w:tc>
      </w:tr>
    </w:tbl>
    <w:p>
      <w:pPr>
        <w:bidi/>
        <w:spacing w:after="100" w:before="180" w:line="360"/>
        <w:jc w:val="right"/>
      </w:pPr>
      <w:r>
        <w:rPr>
          <w:rFonts w:ascii="David" w:cs="David" w:eastAsia="David" w:hAnsi="David"/>
          <w:b/>
          <w:bCs/>
          <w:sz w:val="24"/>
          <w:szCs w:val="24"/>
          <w:rtl/>
        </w:rPr>
        <w:t xml:space="preserve">חלופה ד': לוח מחוונים לצינור המצוינות</w:t>
      </w:r>
    </w:p>
    <w:tbl>
      <w:tblPr>
        <w:bidiVisual/>
        <w:tblW w:type="dxa" w:w="9060"/>
        <w:tblBorders>
          <w:top w:val="single" w:color="8496B0" w:sz="4"/>
          <w:left w:val="single" w:color="8496B0" w:sz="4"/>
          <w:bottom w:val="single" w:color="8496B0" w:sz="4"/>
          <w:right w:val="single" w:color="8496B0" w:sz="4"/>
          <w:insideH w:val="single" w:color="B4C6E7" w:sz="2"/>
          <w:insideV w:val="single" w:color="B4C6E7" w:sz="2"/>
        </w:tblBorders>
      </w:tblPr>
      <w:tblGrid>
        <w:gridCol w:w="1750"/>
        <w:gridCol w:w="7310"/>
      </w:tblGrid>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רכיב ההתערבות</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התערבות טכנו-מבנית</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תת-מטרה</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תת-מטרה 4: זיהוי מוקדם וניטור שוטף</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מהות והפעילויות</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בניית קובץ מעקב מחזורי המסמן תלמידים בסיכון נשירה על בסיס ציונים, נוכחות והמלצות מורים; דיון חודשי קצוב בממצאים בישיבת ההנהלה; הסדרת העברת נתונים מובנית מחטיבת הביניים.</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הנחות על מנגנון ההשפעה</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זיהוי מוקדם מאפשר התערבות ממוקדת בקבוצה קטנה של תלמידים גבוליים, במקום פיזור שעות תגבור על כלל התלמידים המתקשים.</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רוחב ההשפעה</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ארגון שלם</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משאבים נדרשים</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כלי דיגיטלי בסיסי, גיליון מובנה מספיק בשלב ראשון; בעל תפקיד אחראי נתונים; זמן ניתוח חודשי.</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סיכונים ומגבלות</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עלול להישאר מנגנון טכני בלי שינוי התנהגות בפועל; מעורר סוגיות של פרטיות ושל תיוג תלמידים; איכותו תלויה באיכות הנתונים הקיימים בבית הספר.</w:t>
            </w:r>
          </w:p>
        </w:tc>
      </w:tr>
    </w:tbl>
    <w:p>
      <w:pPr>
        <w:bidi/>
        <w:spacing w:after="100" w:before="180" w:line="360"/>
        <w:jc w:val="right"/>
      </w:pPr>
      <w:r>
        <w:rPr>
          <w:rFonts w:ascii="David" w:cs="David" w:eastAsia="David" w:hAnsi="David"/>
          <w:b/>
          <w:bCs/>
          <w:sz w:val="24"/>
          <w:szCs w:val="24"/>
          <w:rtl/>
        </w:rPr>
        <w:t xml:space="preserve">חלופה ה': מסלול מידע וחונכות לתלמיד ולהורה</w:t>
      </w:r>
    </w:p>
    <w:tbl>
      <w:tblPr>
        <w:bidiVisual/>
        <w:tblW w:type="dxa" w:w="9060"/>
        <w:tblBorders>
          <w:top w:val="single" w:color="8496B0" w:sz="4"/>
          <w:left w:val="single" w:color="8496B0" w:sz="4"/>
          <w:bottom w:val="single" w:color="8496B0" w:sz="4"/>
          <w:right w:val="single" w:color="8496B0" w:sz="4"/>
          <w:insideH w:val="single" w:color="B4C6E7" w:sz="2"/>
          <w:insideV w:val="single" w:color="B4C6E7" w:sz="2"/>
        </w:tblBorders>
      </w:tblPr>
      <w:tblGrid>
        <w:gridCol w:w="1750"/>
        <w:gridCol w:w="7310"/>
      </w:tblGrid>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רכיב ההתערבות</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התערבות בניהול משאבי אנוש</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תת-מטרה</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תת-מטרה 5: שינוי תפיסת מסוגלות ומידע</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מהות והפעילויות</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מפגשי מידע לתלמידי כיתה ט' ולהוריהם על ערך בגרות ההייטק ועל משמעותה למסלולי המשך; חונכות של בוגרים ושל תלמידי י"ב מן המגמה; שיחה מובנית לפני כל החלטת הורדת רמה.</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הנחות על מנגנון ההשפעה</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חלק מן ההחלטות מתקבל מתוך מידע חסר ומתוך תפיסת מסוגלות נמוכה. חשיפה למודל חיקוי קרוב ונגיש מרחיבה את טווח האפשרויות הנתפס של התלמיד.</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רוחב ההשפעה</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אנשים בודדים וקבוצות</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משאבים נדרשים</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זמן יועצות ומחנכים; תיאום עם בוגרים; חומרי הסברה בעברית ברמה נגישה.</w:t>
            </w:r>
          </w:p>
        </w:tc>
      </w:tr>
      <w:tr>
        <w:tc>
          <w:tcPr>
            <w:tcW w:type="dxa" w:w="1750"/>
            <w:shd w:fill="DEEAF6" w:color="auto" w:val="clear"/>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סיכונים ומגבלות</w:t>
            </w:r>
          </w:p>
        </w:tc>
        <w:tc>
          <w:tcPr>
            <w:tcW w:type="dxa" w:w="731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השפעה עקיפה ואיטית; לא תסייע אם החסם המבני והתמריצי נותר על כנו; תלויה בזמינות ההורים ובנכונותם להגיע.</w:t>
            </w:r>
          </w:p>
        </w:tc>
      </w:tr>
    </w:tbl>
    <w:p>
      <w:pPr>
        <w:bidi/>
        <w:spacing w:after="120" w:line="360"/>
        <w:jc w:val="both"/>
      </w:pPr>
      <w:r>
        <w:rPr>
          <w:rFonts w:ascii="David" w:cs="David" w:eastAsia="David" w:hAnsi="David"/>
          <w:sz w:val="24"/>
          <w:szCs w:val="24"/>
          <w:rtl/>
        </w:rPr>
        <w:t xml:space="preserve">חמש החלופות יחד נותנות מענה למטרת-העל משום שכל אחת מטפלת בחוליה אחרת בשרשרת הסיבתית שהוצגה בפרק א'. חלופה א' משנה את התמריץ שהוא שורש הבעיה; חלופה ב' משנה את המבנה שדרכו התמריץ מתממש; חלופה ג' מספקת את היכולת המקצועית שתידרש כשהתלמידים יישארו; חלופה ד' מספקת את מערכת העצבים שתאפשר לנהל את התהליך; וחלופה ה' פועלת על צד הביקוש. יישום חלופה אחת בלבד מסוג ד' או ה', למשל, צפוי להניב שיפור זניח, משום שהמנגנון שמסנן את התלמידים החוצה ימשיך לפעול.</w:t>
      </w:r>
    </w:p>
    <w:p>
      <w:r>
        <w:br w:type="page"/>
      </w:r>
    </w:p>
    <w:p>
      <w:pPr>
        <w:bidi/>
        <w:spacing w:after="200" w:before="0" w:line="360"/>
        <w:jc w:val="right"/>
      </w:pPr>
      <w:r>
        <w:rPr>
          <w:rFonts w:ascii="David" w:cs="David" w:eastAsia="David" w:hAnsi="David"/>
          <w:b/>
          <w:bCs/>
          <w:sz w:val="30"/>
          <w:szCs w:val="30"/>
          <w:rtl/>
        </w:rPr>
        <w:t xml:space="preserve">פרק ד': תכנון אופרטיבי של ההתערבות הנבחרת</w:t>
      </w:r>
    </w:p>
    <w:p>
      <w:pPr>
        <w:bidi/>
        <w:spacing w:after="120" w:before="240" w:line="360"/>
        <w:jc w:val="right"/>
      </w:pPr>
      <w:r>
        <w:rPr>
          <w:rFonts w:ascii="David" w:cs="David" w:eastAsia="David" w:hAnsi="David"/>
          <w:b/>
          <w:bCs/>
          <w:sz w:val="26"/>
          <w:szCs w:val="26"/>
          <w:rtl/>
        </w:rPr>
        <w:t xml:space="preserve">"מנוף חמש": העברת מודל ההצלחה מאנגלית למתמטיקה</w:t>
      </w:r>
    </w:p>
    <w:p>
      <w:pPr>
        <w:bidi/>
        <w:spacing w:after="120" w:line="360"/>
        <w:jc w:val="both"/>
      </w:pPr>
      <w:r>
        <w:rPr>
          <w:rFonts w:ascii="David" w:cs="David" w:eastAsia="David" w:hAnsi="David"/>
          <w:sz w:val="24"/>
          <w:szCs w:val="24"/>
          <w:rtl/>
        </w:rPr>
        <w:t xml:space="preserve">ההתערבות שנבחרה לפיתוח מעמיק היא חלופה ג', בשילוב הרכיבים ההכרחיים מחלופות א' ו-ד'. הבחירה נעשתה לפי הקריטריונים שנלמדו בקורס לבדיקת היתכנות והתאמה: מוכנות לשינוי, תמיכת ההנהלה ובעלי עניין מרכזיים, זמינות משאבים והתאמה לתרבות הארגונית (אמבר, 2026). ההתערבות אינה דורשת תקציב משמעותי, נשענת על משאב שכבר קיים בארגון, ומציבה את צוות האנגלית כמומחה במקום להביא מומחיות מבחוץ, ולכן היא בעלת סיכוי הטמעה גבוה בבית ספר גאה בהישגיו. הוספת הרכיב האסטרטגי מחלופה א' נדרשת משום שבלעדיו התערבות התהליכים האנושיים תיתקל שוב באותו תמריץ שיצר את הבעיה, ומחקר על התערבויות לניהול שינוי מדגיש את התלות ההדדית בין רכיבי התערבות ואת ההקשר שבו הם מיושמים (Hagl et al., 2024).</w:t>
      </w:r>
    </w:p>
    <w:p>
      <w:pPr>
        <w:bidi/>
        <w:spacing w:after="100" w:before="180" w:line="360"/>
        <w:jc w:val="right"/>
      </w:pPr>
      <w:r>
        <w:rPr>
          <w:rFonts w:ascii="David" w:cs="David" w:eastAsia="David" w:hAnsi="David"/>
          <w:b/>
          <w:bCs/>
          <w:sz w:val="24"/>
          <w:szCs w:val="24"/>
          <w:rtl/>
        </w:rPr>
        <w:t xml:space="preserve">1. מטרת ההתערבות</w:t>
      </w:r>
    </w:p>
    <w:p>
      <w:pPr>
        <w:bidi/>
        <w:spacing w:after="120" w:line="360"/>
        <w:jc w:val="both"/>
      </w:pPr>
      <w:r>
        <w:rPr>
          <w:rFonts w:ascii="David" w:cs="David" w:eastAsia="David" w:hAnsi="David"/>
          <w:sz w:val="24"/>
          <w:szCs w:val="24"/>
          <w:rtl/>
        </w:rPr>
        <w:t xml:space="preserve">ההתערבות מכוונת אל מטרת-העל, הפיכת הזהות המדעית המוצהרת לתפוקה נמדדת, ואל שלוש תתי-המטרות הבאות: שינוי הגדרת ההצלחה כך שתכלול יעד מספרי ל-5 יחידות מתמטיקה (תת-מטרה 1); העברת פרקטיקות מוכחות מצוות האנגלית לצוות המתמטיקה (תת-מטרה 3); והקמת מנגנון לזיהוי מוקדם וניטור של תלמידים בסיכון נשירה (תת-מטרה 4). מטרת ההתערבות הספציפית: לבנות בתוך שנת לימודים אחת מנגנון בית ספרי קבוע לשימור והרחבה של צינור 5 היחידות במתמטיקה, המבוסס על פרקטיקות שכבר הוכחו בבית הספר עצמו.</w:t>
      </w:r>
    </w:p>
    <w:p>
      <w:pPr>
        <w:bidi/>
        <w:spacing w:after="100" w:before="180" w:line="360"/>
        <w:jc w:val="right"/>
      </w:pPr>
      <w:r>
        <w:rPr>
          <w:rFonts w:ascii="David" w:cs="David" w:eastAsia="David" w:hAnsi="David"/>
          <w:b/>
          <w:bCs/>
          <w:sz w:val="24"/>
          <w:szCs w:val="24"/>
          <w:rtl/>
        </w:rPr>
        <w:t xml:space="preserve">2. אוכלוסיית היעד</w:t>
      </w:r>
    </w:p>
    <w:p>
      <w:pPr>
        <w:bidi/>
        <w:spacing w:after="120" w:line="360"/>
        <w:jc w:val="both"/>
      </w:pPr>
      <w:r>
        <w:rPr>
          <w:rFonts w:ascii="David" w:cs="David" w:eastAsia="David" w:hAnsi="David"/>
          <w:sz w:val="24"/>
          <w:szCs w:val="24"/>
          <w:rtl/>
        </w:rPr>
        <w:t xml:space="preserve">אוכלוסיית היעד הישירה כוללת שלוש קבוצות: צוות המתמטיקה על כלל מוריו והרכז, שהוא המשתתף המרכזי בתהליך; צוות האנגלית, כשישה עד שמונה מורים ורכזת, המשמש מקור הידע; והנהלת בית הספר, המנהלת וסגניה, המובילה את השינוי האסטרטגי. אוכלוסיית היעד המושפעת באופן עקיף כוללת את תלמידי שכבות ט' וי' באותה שנה, ובתוכם קבוצת ההכרעה של התלמידים הגבוליים, שהיא לפי הערכה גסה בין 25 ל-40 תלמידים בשכבה; את היועצות והמחנכים, שנוהל ההחלטה שלהם ישתנה; ואת ההורים, שיקבלו מידע חדש בנקודת ההחלטה. בטווח הארוך מושפעים כלל מחזורי הלימוד הבאים.</w:t>
      </w:r>
    </w:p>
    <w:p>
      <w:pPr>
        <w:bidi/>
        <w:spacing w:after="100" w:before="180" w:line="360"/>
        <w:jc w:val="right"/>
      </w:pPr>
      <w:r>
        <w:rPr>
          <w:rFonts w:ascii="David" w:cs="David" w:eastAsia="David" w:hAnsi="David"/>
          <w:b/>
          <w:bCs/>
          <w:sz w:val="24"/>
          <w:szCs w:val="24"/>
          <w:rtl/>
        </w:rPr>
        <w:t xml:space="preserve">3. רכיבי ההתערבות והפעילויות</w:t>
      </w:r>
    </w:p>
    <w:p>
      <w:pPr>
        <w:bidi/>
        <w:spacing w:after="120" w:line="360"/>
        <w:jc w:val="both"/>
      </w:pPr>
      <w:r>
        <w:rPr>
          <w:rFonts w:ascii="David" w:cs="David" w:eastAsia="David" w:hAnsi="David"/>
          <w:sz w:val="24"/>
          <w:szCs w:val="24"/>
          <w:rtl/>
        </w:rPr>
        <w:t xml:space="preserve">ההתערבות מורכבת מארבעה רכיבים, המיושמים ברצף ולא במקביל.</w:t>
      </w:r>
    </w:p>
    <w:p>
      <w:pPr>
        <w:bidi/>
        <w:spacing w:after="120" w:line="360"/>
        <w:jc w:val="both"/>
      </w:pPr>
      <w:r>
        <w:rPr>
          <w:rFonts w:ascii="David" w:cs="David" w:eastAsia="David" w:hAnsi="David"/>
          <w:b/>
          <w:bCs/>
          <w:sz w:val="24"/>
          <w:szCs w:val="24"/>
          <w:rtl/>
        </w:rPr>
        <w:t xml:space="preserve">רכיב א', פענוח מודל ההצלחה באנגלית. </w:t>
      </w:r>
      <w:r>
        <w:rPr>
          <w:rFonts w:ascii="David" w:cs="David" w:eastAsia="David" w:hAnsi="David"/>
          <w:sz w:val="24"/>
          <w:szCs w:val="24"/>
          <w:rtl/>
        </w:rPr>
        <w:t xml:space="preserve">הרכיב פותח בשלושה ראיונות מובְנים עם רכזת האנגלית ועם שני מורים ותיקים, סביב שאלה אחת: מה נעשה בפועל כדי שתלמיד גבולי יישאר ב-5 יחידות. במקביל מתקיימים ארבעה סיורי למידה בשיעורי אנגלית ברמה מורחבת, שבהם משתתפים שני מורי מתמטיקה, ומיפוי כמותי של מסלול לומדי האנגלית לאורך ארבע שנים, כדי לאתר את הנקודות שבהן הצינור נשמר. תוצר הרכיב הוא מסמך קצר המונה שלוש עד חמש פרקטיקות מזוהות, ולצד כל אחת הערכה של מידת יכולת ההעברה שלה למתמטיקה.</w:t>
      </w:r>
    </w:p>
    <w:p>
      <w:pPr>
        <w:bidi/>
        <w:spacing w:after="120" w:line="360"/>
        <w:jc w:val="both"/>
      </w:pPr>
      <w:r>
        <w:rPr>
          <w:rFonts w:ascii="David" w:cs="David" w:eastAsia="David" w:hAnsi="David"/>
          <w:b/>
          <w:bCs/>
          <w:sz w:val="24"/>
          <w:szCs w:val="24"/>
          <w:rtl/>
        </w:rPr>
        <w:t xml:space="preserve">רכיב ב', קהילת למידה מקצועית משותפת. </w:t>
      </w:r>
      <w:r>
        <w:rPr>
          <w:rFonts w:ascii="David" w:cs="David" w:eastAsia="David" w:hAnsi="David"/>
          <w:sz w:val="24"/>
          <w:szCs w:val="24"/>
          <w:rtl/>
        </w:rPr>
        <w:t xml:space="preserve">מוקמת קהילה משותפת לשני הצוותים, הנפגשת אחת לשבועיים למשך תשעים דקות לאורך שבעה מפגשים, בהנחיה משותפת של רכזת האנגלית ורכז המתמטיקה. שלושת המפגשים הראשונים מוקדשים להצגת הפרקטיקות ולניתוחן, ובארבעה הבאים מתבצעת המרה מעשית: כל פרקטיקה מותאמת למאפייני המתמטיקה, נכתבת כנוהל עבודה קצר ומורצת בכיתה אחת לפני הרחבה. עבודת הקהילה מתועדת בפרוטוקול קצר.</w:t>
      </w:r>
    </w:p>
    <w:p>
      <w:pPr>
        <w:bidi/>
        <w:spacing w:after="120" w:line="360"/>
        <w:jc w:val="both"/>
      </w:pPr>
      <w:r>
        <w:rPr>
          <w:rFonts w:ascii="David" w:cs="David" w:eastAsia="David" w:hAnsi="David"/>
          <w:b/>
          <w:bCs/>
          <w:sz w:val="24"/>
          <w:szCs w:val="24"/>
          <w:rtl/>
        </w:rPr>
        <w:t xml:space="preserve">רכיב ג', שינוי נוהל ההחלטה על שינוי רמה. </w:t>
      </w:r>
      <w:r>
        <w:rPr>
          <w:rFonts w:ascii="David" w:cs="David" w:eastAsia="David" w:hAnsi="David"/>
          <w:sz w:val="24"/>
          <w:szCs w:val="24"/>
          <w:rtl/>
        </w:rPr>
        <w:t xml:space="preserve">במקביל נכתב נוהל חדש להורדת רמה, הכולל שלושה מרכיבים: קריטריון מוגדר מראש המחליף שיקול דעת פרטני; שיחה משולשת מובנית עם התלמיד, ההורה ומורה המתמטיקה, שבה מוצגות גם האפשרויות החלופיות ולא רק אפשרות הירידה; וסימון מפורש של מועד לבחינה חוזרת של ההחלטה. הנוהל מאושר בהנהלה ומוצג לכל היועצות והמחנכים במפגש ייעודי.</w:t>
      </w:r>
    </w:p>
    <w:p>
      <w:pPr>
        <w:bidi/>
        <w:spacing w:after="120" w:line="360"/>
        <w:jc w:val="both"/>
      </w:pPr>
      <w:r>
        <w:rPr>
          <w:rFonts w:ascii="David" w:cs="David" w:eastAsia="David" w:hAnsi="David"/>
          <w:b/>
          <w:bCs/>
          <w:sz w:val="24"/>
          <w:szCs w:val="24"/>
          <w:rtl/>
        </w:rPr>
        <w:t xml:space="preserve">רכיב ד', יעד ולוח מחוונים. </w:t>
      </w:r>
      <w:r>
        <w:rPr>
          <w:rFonts w:ascii="David" w:cs="David" w:eastAsia="David" w:hAnsi="David"/>
          <w:sz w:val="24"/>
          <w:szCs w:val="24"/>
          <w:rtl/>
        </w:rPr>
        <w:t xml:space="preserve">ההנהלה מנסחת יעד מספרי מדורג לשלוש שנים לשיעור מסיימי 5 יחידות מתמטיקה, מעגנת אותו בתוכנית העבודה השנתית לצד יעד הזכאות, וממנה בעל תפקיד האחראי על הצינור. במקביל נבנה קובץ מעקב פשוט המסמן מדי חודש תלמידים בסיכון נשירה, ונקבע דיון חודשי קצוב של עשרים דקות בישיבת ההנהלה שבו נסקרים הממצאים ומוחלט על פעולה פרטנית.</w:t>
      </w:r>
    </w:p>
    <w:p>
      <w:pPr>
        <w:bidi/>
        <w:spacing w:after="100" w:before="180" w:line="360"/>
        <w:jc w:val="right"/>
      </w:pPr>
      <w:r>
        <w:rPr>
          <w:rFonts w:ascii="David" w:cs="David" w:eastAsia="David" w:hAnsi="David"/>
          <w:b/>
          <w:bCs/>
          <w:sz w:val="24"/>
          <w:szCs w:val="24"/>
          <w:rtl/>
        </w:rPr>
        <w:t xml:space="preserve">4. מנגנון הפעולה</w:t>
      </w:r>
    </w:p>
    <w:p>
      <w:pPr>
        <w:bidi/>
        <w:spacing w:after="120" w:line="360"/>
        <w:jc w:val="both"/>
      </w:pPr>
      <w:r>
        <w:rPr>
          <w:rFonts w:ascii="David" w:cs="David" w:eastAsia="David" w:hAnsi="David"/>
          <w:sz w:val="24"/>
          <w:szCs w:val="24"/>
          <w:rtl/>
        </w:rPr>
        <w:t xml:space="preserve">ההתערבות אמורה לעבוד משום שהיא פועלת על שלוש החוליות שזוהו בשרשרת הסיבתית, בסדר הנכון. תחילה משתנה מה שנמדד: כאשר קיים יעד מוצהר ל-5 יחידות ודיווח שוטף עליו, הורדת רמה מפסיקה להיות ההחלטה חסרת העלות שהייתה, והשיקול הרציונלי של כל שחקן בשרשרת מוסט. לאחר מכן משתנה מה שאפשר לעשות במקום להוריד רמה: הפרקטיקות שיובאו מן האנגלית ונוהל השיחה המובנית מספקים למורה וליועצת חלופה מעשית, שכן שינוי תמריץ בלי מתן חלופה מייצר תסכול ולא שינוי התנהגות. לבסוף משתנה עיתוי הזיהוי: לוח המחוונים מקדים את נקודת ההתערבות אל השלב שבו התלמיד עדיין בר-הצלה, במקום לגלות את הנשירה בדיעבד.</w:t>
      </w:r>
    </w:p>
    <w:p>
      <w:pPr>
        <w:bidi/>
        <w:spacing w:after="120" w:line="360"/>
        <w:jc w:val="both"/>
      </w:pPr>
      <w:r>
        <w:rPr>
          <w:rFonts w:ascii="David" w:cs="David" w:eastAsia="David" w:hAnsi="David"/>
          <w:sz w:val="24"/>
          <w:szCs w:val="24"/>
          <w:rtl/>
        </w:rPr>
        <w:t xml:space="preserve">הנחת היסוד של המנגנון היא שהידע הנדרש כבר קיים בארגון. הצלחת האנגלית באותה אוכלוסייה בדיוק, עם אותם תלמידים ואותם הורים, היא הראיה החזקה ביותר לכך שהחסם אינו דמוגרפי. משום כך ההתערבות אינה מייבאת מודל חיצוני שיש להתאימו לתרבות בית הספר, אלא מעבירה ידע פנימי שכבר עבר את מבחן ההתאמה. זהו גם מקור הלגיטימציה שלה: קשה לטעון שהמודל אינו מתאים לבית הספר כאשר הוא נולד בתוכו.</w:t>
      </w:r>
    </w:p>
    <w:p>
      <w:pPr>
        <w:bidi/>
        <w:spacing w:after="100" w:before="180" w:line="360"/>
        <w:jc w:val="right"/>
      </w:pPr>
      <w:r>
        <w:rPr>
          <w:rFonts w:ascii="David" w:cs="David" w:eastAsia="David" w:hAnsi="David"/>
          <w:b/>
          <w:bCs/>
          <w:sz w:val="24"/>
          <w:szCs w:val="24"/>
          <w:rtl/>
        </w:rPr>
        <w:t xml:space="preserve">5. שלבי יישום, לוח זמנים ואחריות</w:t>
      </w:r>
    </w:p>
    <w:p>
      <w:pPr>
        <w:bidi/>
        <w:spacing w:after="80" w:before="160" w:line="300"/>
        <w:jc w:val="right"/>
      </w:pPr>
      <w:r>
        <w:rPr>
          <w:rFonts w:ascii="David" w:cs="David" w:eastAsia="David" w:hAnsi="David"/>
          <w:b/>
          <w:bCs/>
          <w:sz w:val="22"/>
          <w:szCs w:val="22"/>
          <w:rtl/>
        </w:rPr>
        <w:t xml:space="preserve">טבלה 8: תוכנית יישום</w:t>
      </w:r>
    </w:p>
    <w:tbl>
      <w:tblPr>
        <w:bidiVisual/>
        <w:tblW w:type="dxa" w:w="9060"/>
        <w:tblBorders>
          <w:top w:val="single" w:color="8496B0" w:sz="4"/>
          <w:left w:val="single" w:color="8496B0" w:sz="4"/>
          <w:bottom w:val="single" w:color="8496B0" w:sz="4"/>
          <w:right w:val="single" w:color="8496B0" w:sz="4"/>
          <w:insideH w:val="single" w:color="B4C6E7" w:sz="2"/>
          <w:insideV w:val="single" w:color="B4C6E7" w:sz="2"/>
        </w:tblBorders>
      </w:tblPr>
      <w:tblGrid>
        <w:gridCol w:w="520"/>
        <w:gridCol w:w="1720"/>
        <w:gridCol w:w="1000"/>
        <w:gridCol w:w="2360"/>
        <w:gridCol w:w="1760"/>
        <w:gridCol w:w="1700"/>
      </w:tblGrid>
      <w:tr>
        <w:trPr>
          <w:tblHeader/>
        </w:trPr>
        <w:tc>
          <w:tcPr>
            <w:tcW w:type="dxa" w:w="52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שלב</w:t>
            </w:r>
          </w:p>
        </w:tc>
        <w:tc>
          <w:tcPr>
            <w:tcW w:type="dxa" w:w="172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תוכן השלב</w:t>
            </w:r>
          </w:p>
        </w:tc>
        <w:tc>
          <w:tcPr>
            <w:tcW w:type="dxa" w:w="10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לו"ז</w:t>
            </w:r>
          </w:p>
        </w:tc>
        <w:tc>
          <w:tcPr>
            <w:tcW w:type="dxa" w:w="236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פעילויות מרכזיות</w:t>
            </w:r>
          </w:p>
        </w:tc>
        <w:tc>
          <w:tcPr>
            <w:tcW w:type="dxa" w:w="176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אחראי</w:t>
            </w:r>
          </w:p>
        </w:tc>
        <w:tc>
          <w:tcPr>
            <w:tcW w:type="dxa" w:w="17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תוצר מצופה</w:t>
            </w:r>
          </w:p>
        </w:tc>
      </w:tr>
      <w:tr>
        <w:tc>
          <w:tcPr>
            <w:tcW w:type="dxa" w:w="52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1</w:t>
            </w:r>
          </w:p>
        </w:tc>
        <w:tc>
          <w:tcPr>
            <w:tcW w:type="dxa" w:w="172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מסגור והתנעה</w:t>
            </w:r>
          </w:p>
        </w:tc>
        <w:tc>
          <w:tcPr>
            <w:tcW w:type="dxa" w:w="10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חודש 1 (ספטמבר)</w:t>
            </w:r>
          </w:p>
        </w:tc>
        <w:tc>
          <w:tcPr>
            <w:tcW w:type="dxa" w:w="23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מפגש התנעה עם ההנהלה; הגדרת בעלות ואחריות; תיאום ציפיות עם שני הרכזים; קבלת אישור הרשת.</w:t>
            </w:r>
          </w:p>
        </w:tc>
        <w:tc>
          <w:tcPr>
            <w:tcW w:type="dxa" w:w="17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מנהלת בית הספר</w:t>
            </w:r>
          </w:p>
        </w:tc>
        <w:tc>
          <w:tcPr>
            <w:tcW w:type="dxa" w:w="17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מסמך מסגור חתום ובעל תפקיד ממונה על הצינור</w:t>
            </w:r>
          </w:p>
        </w:tc>
      </w:tr>
      <w:tr>
        <w:tc>
          <w:tcPr>
            <w:tcW w:type="dxa" w:w="52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2</w:t>
            </w:r>
          </w:p>
        </w:tc>
        <w:tc>
          <w:tcPr>
            <w:tcW w:type="dxa" w:w="172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פענוח מודל האנגלית</w:t>
            </w:r>
          </w:p>
        </w:tc>
        <w:tc>
          <w:tcPr>
            <w:tcW w:type="dxa" w:w="10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חודשים 1 עד 3</w:t>
            </w:r>
          </w:p>
        </w:tc>
        <w:tc>
          <w:tcPr>
            <w:tcW w:type="dxa" w:w="23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שלושה ראיונות מובנים; ארבעה סיורי למידה; ניתוח מסלול לומדי האנגלית לאורך ארבע שנים.</w:t>
            </w:r>
          </w:p>
        </w:tc>
        <w:tc>
          <w:tcPr>
            <w:tcW w:type="dxa" w:w="17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רכזת אנגלית ורכז מתמטיקה</w:t>
            </w:r>
          </w:p>
        </w:tc>
        <w:tc>
          <w:tcPr>
            <w:tcW w:type="dxa" w:w="17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מסמך שלוש עד חמש פרקטיקות עם דירוג יכולת העברה</w:t>
            </w:r>
          </w:p>
        </w:tc>
      </w:tr>
      <w:tr>
        <w:tc>
          <w:tcPr>
            <w:tcW w:type="dxa" w:w="52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3</w:t>
            </w:r>
          </w:p>
        </w:tc>
        <w:tc>
          <w:tcPr>
            <w:tcW w:type="dxa" w:w="172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ניסוח יעד ולוח מחוונים</w:t>
            </w:r>
          </w:p>
        </w:tc>
        <w:tc>
          <w:tcPr>
            <w:tcW w:type="dxa" w:w="10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חודשים 2 עד 3</w:t>
            </w:r>
          </w:p>
        </w:tc>
        <w:tc>
          <w:tcPr>
            <w:tcW w:type="dxa" w:w="23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ניסוח יעד מדורג לשלוש שנים; בניית קובץ המעקב; קביעת הדיון החודשי הקבוע.</w:t>
            </w:r>
          </w:p>
        </w:tc>
        <w:tc>
          <w:tcPr>
            <w:tcW w:type="dxa" w:w="17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סגנית פדגוגית ורכזת נתונים</w:t>
            </w:r>
          </w:p>
        </w:tc>
        <w:tc>
          <w:tcPr>
            <w:tcW w:type="dxa" w:w="17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יעד מעוגן בתוכנית העבודה ולוח מחוונים פעיל</w:t>
            </w:r>
          </w:p>
        </w:tc>
      </w:tr>
      <w:tr>
        <w:tc>
          <w:tcPr>
            <w:tcW w:type="dxa" w:w="52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4</w:t>
            </w:r>
          </w:p>
        </w:tc>
        <w:tc>
          <w:tcPr>
            <w:tcW w:type="dxa" w:w="172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קהילת למידה מקצועית</w:t>
            </w:r>
          </w:p>
        </w:tc>
        <w:tc>
          <w:tcPr>
            <w:tcW w:type="dxa" w:w="10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חודשים 3 עד 7</w:t>
            </w:r>
          </w:p>
        </w:tc>
        <w:tc>
          <w:tcPr>
            <w:tcW w:type="dxa" w:w="23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שבעה מפגשים דו-שבועיים; המרת פרקטיקות לנהלי עבודה; הרצה בכיתה אחת.</w:t>
            </w:r>
          </w:p>
        </w:tc>
        <w:tc>
          <w:tcPr>
            <w:tcW w:type="dxa" w:w="17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שני הרכזים במשותף</w:t>
            </w:r>
          </w:p>
        </w:tc>
        <w:tc>
          <w:tcPr>
            <w:tcW w:type="dxa" w:w="17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שתיים עד שלוש פרקטיקות כתובות ומורצות</w:t>
            </w:r>
          </w:p>
        </w:tc>
      </w:tr>
      <w:tr>
        <w:tc>
          <w:tcPr>
            <w:tcW w:type="dxa" w:w="52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5</w:t>
            </w:r>
          </w:p>
        </w:tc>
        <w:tc>
          <w:tcPr>
            <w:tcW w:type="dxa" w:w="172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נוהל ההחלטה החדש</w:t>
            </w:r>
          </w:p>
        </w:tc>
        <w:tc>
          <w:tcPr>
            <w:tcW w:type="dxa" w:w="10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חודשים 4 עד 5</w:t>
            </w:r>
          </w:p>
        </w:tc>
        <w:tc>
          <w:tcPr>
            <w:tcW w:type="dxa" w:w="23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כתיבת הקריטריון ותסריט השיחה; אישור בהנהלה; מפגש הטמעה ליועצות ולמחנכים.</w:t>
            </w:r>
          </w:p>
        </w:tc>
        <w:tc>
          <w:tcPr>
            <w:tcW w:type="dxa" w:w="17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יועצת בכירה ורכז מתמטיקה</w:t>
            </w:r>
          </w:p>
        </w:tc>
        <w:tc>
          <w:tcPr>
            <w:tcW w:type="dxa" w:w="17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נוהל מאושר ומוטמע אצל כלל המחנכים</w:t>
            </w:r>
          </w:p>
        </w:tc>
      </w:tr>
      <w:tr>
        <w:tc>
          <w:tcPr>
            <w:tcW w:type="dxa" w:w="52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6</w:t>
            </w:r>
          </w:p>
        </w:tc>
        <w:tc>
          <w:tcPr>
            <w:tcW w:type="dxa" w:w="172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הרצה מלאה בשכבות ט' וי'</w:t>
            </w:r>
          </w:p>
        </w:tc>
        <w:tc>
          <w:tcPr>
            <w:tcW w:type="dxa" w:w="10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חודשים 5 עד 10</w:t>
            </w:r>
          </w:p>
        </w:tc>
        <w:tc>
          <w:tcPr>
            <w:tcW w:type="dxa" w:w="23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הפעלת הנוהל והפרקטיקות; ניטור חודשי; טיפול פרטני בתלמידי קבוצת ההכרעה.</w:t>
            </w:r>
          </w:p>
        </w:tc>
        <w:tc>
          <w:tcPr>
            <w:tcW w:type="dxa" w:w="17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רכז מתמטיקה</w:t>
            </w:r>
          </w:p>
        </w:tc>
        <w:tc>
          <w:tcPr>
            <w:tcW w:type="dxa" w:w="17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תיעוד החלטות שינוי רמה ומעקב מחזורי</w:t>
            </w:r>
          </w:p>
        </w:tc>
      </w:tr>
      <w:tr>
        <w:tc>
          <w:tcPr>
            <w:tcW w:type="dxa" w:w="52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7</w:t>
            </w:r>
          </w:p>
        </w:tc>
        <w:tc>
          <w:tcPr>
            <w:tcW w:type="dxa" w:w="172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הערכה, הפקת לקחים והרחבה</w:t>
            </w:r>
          </w:p>
        </w:tc>
        <w:tc>
          <w:tcPr>
            <w:tcW w:type="dxa" w:w="10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חודשים 10 עד 12</w:t>
            </w:r>
          </w:p>
        </w:tc>
        <w:tc>
          <w:tcPr>
            <w:tcW w:type="dxa" w:w="23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מדידת המדדים מול נקודת המוצא; מפגש הפקת לקחים; החלטה על הרחבה לשכבות נוספות ודיווח לרשת.</w:t>
            </w:r>
          </w:p>
        </w:tc>
        <w:tc>
          <w:tcPr>
            <w:tcW w:type="dxa" w:w="17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מנהלת בית הספר</w:t>
            </w:r>
          </w:p>
        </w:tc>
        <w:tc>
          <w:tcPr>
            <w:tcW w:type="dxa" w:w="17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דוח הערכה והחלטה על המשך</w:t>
            </w:r>
          </w:p>
        </w:tc>
      </w:tr>
    </w:tbl>
    <w:p>
      <w:pPr>
        <w:bidi/>
        <w:spacing w:after="100" w:before="180" w:line="360"/>
        <w:jc w:val="right"/>
      </w:pPr>
      <w:r>
        <w:rPr>
          <w:rFonts w:ascii="David" w:cs="David" w:eastAsia="David" w:hAnsi="David"/>
          <w:b/>
          <w:bCs/>
          <w:sz w:val="24"/>
          <w:szCs w:val="24"/>
          <w:rtl/>
        </w:rPr>
        <w:t xml:space="preserve">6. משאבים נדרשים</w:t>
      </w:r>
    </w:p>
    <w:p>
      <w:pPr>
        <w:bidi/>
        <w:spacing w:after="120" w:line="360"/>
        <w:jc w:val="both"/>
      </w:pPr>
      <w:r>
        <w:rPr>
          <w:rFonts w:ascii="David" w:cs="David" w:eastAsia="David" w:hAnsi="David"/>
          <w:sz w:val="24"/>
          <w:szCs w:val="24"/>
          <w:rtl/>
        </w:rPr>
        <w:t xml:space="preserve">היקף המשאבים הנדרש צנוע יחסית, וזהו אחד הנימוקים לבחירת חלופה זו. עם זאת, המשאב הקריטי אינו תקציבי אלא ניהולי, ובראשו זמן הנהלה ולגיטימציה.</w:t>
      </w:r>
    </w:p>
    <w:p>
      <w:pPr>
        <w:bidi/>
        <w:spacing w:after="80" w:before="160" w:line="300"/>
        <w:jc w:val="right"/>
      </w:pPr>
      <w:r>
        <w:rPr>
          <w:rFonts w:ascii="David" w:cs="David" w:eastAsia="David" w:hAnsi="David"/>
          <w:b/>
          <w:bCs/>
          <w:sz w:val="22"/>
          <w:szCs w:val="22"/>
          <w:rtl/>
        </w:rPr>
        <w:t xml:space="preserve">טבלה 9: משאבים נדרשים</w:t>
      </w:r>
    </w:p>
    <w:tbl>
      <w:tblPr>
        <w:bidiVisual/>
        <w:tblW w:type="dxa" w:w="9060"/>
        <w:tblBorders>
          <w:top w:val="single" w:color="8496B0" w:sz="4"/>
          <w:left w:val="single" w:color="8496B0" w:sz="4"/>
          <w:bottom w:val="single" w:color="8496B0" w:sz="4"/>
          <w:right w:val="single" w:color="8496B0" w:sz="4"/>
          <w:insideH w:val="single" w:color="B4C6E7" w:sz="2"/>
          <w:insideV w:val="single" w:color="B4C6E7" w:sz="2"/>
        </w:tblBorders>
      </w:tblPr>
      <w:tblGrid>
        <w:gridCol w:w="1500"/>
        <w:gridCol w:w="3300"/>
        <w:gridCol w:w="4260"/>
      </w:tblGrid>
      <w:tr>
        <w:trPr>
          <w:tblHeader/>
        </w:trPr>
        <w:tc>
          <w:tcPr>
            <w:tcW w:type="dxa" w:w="15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קטגוריה</w:t>
            </w:r>
          </w:p>
        </w:tc>
        <w:tc>
          <w:tcPr>
            <w:tcW w:type="dxa" w:w="33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המשאב</w:t>
            </w:r>
          </w:p>
        </w:tc>
        <w:tc>
          <w:tcPr>
            <w:tcW w:type="dxa" w:w="426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הערכה והערות</w:t>
            </w:r>
          </w:p>
        </w:tc>
      </w:tr>
      <w:tr>
        <w:tc>
          <w:tcPr>
            <w:tcW w:type="dxa" w:w="15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אנשים</w:t>
            </w:r>
          </w:p>
        </w:tc>
        <w:tc>
          <w:tcPr>
            <w:tcW w:type="dxa" w:w="33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רכז מתמטיקה, רכזת אנגלית, שני מורי מתמטיקה משתתפים, יועצת בכירה, רכזת נתונים, סגנית פדגוגית.</w:t>
            </w:r>
          </w:p>
        </w:tc>
        <w:tc>
          <w:tcPr>
            <w:tcW w:type="dxa" w:w="42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כשמונה עד עשרה אנשי סגל בעצימויות שונות. אין צורך בגיוס חיצוני.</w:t>
            </w:r>
          </w:p>
        </w:tc>
      </w:tr>
      <w:tr>
        <w:tc>
          <w:tcPr>
            <w:tcW w:type="dxa" w:w="15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זמן</w:t>
            </w:r>
          </w:p>
        </w:tc>
        <w:tc>
          <w:tcPr>
            <w:tcW w:type="dxa" w:w="33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שבעה מפגשי קהילה בני 90 דקות; ארבעה סיורי למידה; דיון חודשי בן 20 דקות בהנהלה; שעה שבועית לרכז הצינור.</w:t>
            </w:r>
          </w:p>
        </w:tc>
        <w:tc>
          <w:tcPr>
            <w:tcW w:type="dxa" w:w="42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כ-60 שעות סגל בשנה הראשונה. הרכיב היקר ביותר, ומחייב הקצאה מפורשת במערכת ולא הסתמכות על זמן פנוי.</w:t>
            </w:r>
          </w:p>
        </w:tc>
      </w:tr>
      <w:tr>
        <w:tc>
          <w:tcPr>
            <w:tcW w:type="dxa" w:w="15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מומחיות וידע</w:t>
            </w:r>
          </w:p>
        </w:tc>
        <w:tc>
          <w:tcPr>
            <w:tcW w:type="dxa" w:w="33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ידע פנימי של צוות האנגלית; ליווי חיצוני קצר לבניית מדדים; היכרות עם תוכניות משרד החינוך הרלוונטיות.</w:t>
            </w:r>
          </w:p>
        </w:tc>
        <w:tc>
          <w:tcPr>
            <w:tcW w:type="dxa" w:w="42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המומחיות המרכזית קיימת בבית הספר. ליווי חיצוני נדרש להיקף של שניים עד שלושה מפגשים בלבד.</w:t>
            </w:r>
          </w:p>
        </w:tc>
      </w:tr>
      <w:tr>
        <w:tc>
          <w:tcPr>
            <w:tcW w:type="dxa" w:w="15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תקציב</w:t>
            </w:r>
          </w:p>
        </w:tc>
        <w:tc>
          <w:tcPr>
            <w:tcW w:type="dxa" w:w="33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גמול לריכוז הצינור; מודול גישור אם ייפתח מסלול חזרה; חומרי הסברה להורים.</w:t>
            </w:r>
          </w:p>
        </w:tc>
        <w:tc>
          <w:tcPr>
            <w:tcW w:type="dxa" w:w="42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היקף נמוך יחסית. חלקו ניתן לכיסוי מתקציבי מצוינות של הרשת או של משרד החינוך.</w:t>
            </w:r>
          </w:p>
        </w:tc>
      </w:tr>
      <w:tr>
        <w:tc>
          <w:tcPr>
            <w:tcW w:type="dxa" w:w="15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מערכות ונתונים</w:t>
            </w:r>
          </w:p>
        </w:tc>
        <w:tc>
          <w:tcPr>
            <w:tcW w:type="dxa" w:w="33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קובץ מעקב מחזורי; גישה לנתוני ציונים היסטוריים; ערוץ מובנה לקבלת נתונים מחטיבת הביניים.</w:t>
            </w:r>
          </w:p>
        </w:tc>
        <w:tc>
          <w:tcPr>
            <w:tcW w:type="dxa" w:w="42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אין צורך במערכת חדשה. גיליון מובנה מספיק בשלב הראשון, בכפוף להסדרת סוגיות פרטיות.</w:t>
            </w:r>
          </w:p>
        </w:tc>
      </w:tr>
      <w:tr>
        <w:tc>
          <w:tcPr>
            <w:tcW w:type="dxa" w:w="15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סמכות ולגיטימציה</w:t>
            </w:r>
          </w:p>
        </w:tc>
        <w:tc>
          <w:tcPr>
            <w:tcW w:type="dxa" w:w="33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אישור ההנהלה לשינוי היעדים; גיבוי הרשת; הצגת השינוי כיעד בית ספרי ולא כיוזמה של מקצוע בודד.</w:t>
            </w:r>
          </w:p>
        </w:tc>
        <w:tc>
          <w:tcPr>
            <w:tcW w:type="dxa" w:w="42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המשאב הקריטי. בלעדיו התוכנית מתכווצת לפרויקט של צוות המתמטיקה ומאבדת את כוחה.</w:t>
            </w:r>
          </w:p>
        </w:tc>
      </w:tr>
    </w:tbl>
    <w:p>
      <w:pPr>
        <w:bidi/>
        <w:spacing w:after="100" w:before="180" w:line="360"/>
        <w:jc w:val="right"/>
      </w:pPr>
      <w:r>
        <w:rPr>
          <w:rFonts w:ascii="David" w:cs="David" w:eastAsia="David" w:hAnsi="David"/>
          <w:b/>
          <w:bCs/>
          <w:sz w:val="24"/>
          <w:szCs w:val="24"/>
          <w:rtl/>
        </w:rPr>
        <w:t xml:space="preserve">7. סיכונים וניהולם</w:t>
      </w:r>
    </w:p>
    <w:p>
      <w:pPr>
        <w:bidi/>
        <w:spacing w:after="80" w:before="160" w:line="300"/>
        <w:jc w:val="right"/>
      </w:pPr>
      <w:r>
        <w:rPr>
          <w:rFonts w:ascii="David" w:cs="David" w:eastAsia="David" w:hAnsi="David"/>
          <w:b/>
          <w:bCs/>
          <w:sz w:val="22"/>
          <w:szCs w:val="22"/>
          <w:rtl/>
        </w:rPr>
        <w:t xml:space="preserve">טבלה 10: סיכונים ודרכי התמודדות</w:t>
      </w:r>
    </w:p>
    <w:tbl>
      <w:tblPr>
        <w:bidiVisual/>
        <w:tblW w:type="dxa" w:w="9060"/>
        <w:tblBorders>
          <w:top w:val="single" w:color="8496B0" w:sz="4"/>
          <w:left w:val="single" w:color="8496B0" w:sz="4"/>
          <w:bottom w:val="single" w:color="8496B0" w:sz="4"/>
          <w:right w:val="single" w:color="8496B0" w:sz="4"/>
          <w:insideH w:val="single" w:color="B4C6E7" w:sz="2"/>
          <w:insideV w:val="single" w:color="B4C6E7" w:sz="2"/>
        </w:tblBorders>
      </w:tblPr>
      <w:tblGrid>
        <w:gridCol w:w="2000"/>
        <w:gridCol w:w="2100"/>
        <w:gridCol w:w="4960"/>
      </w:tblGrid>
      <w:tr>
        <w:trPr>
          <w:tblHeader/>
        </w:trPr>
        <w:tc>
          <w:tcPr>
            <w:tcW w:type="dxa" w:w="20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הסיכון</w:t>
            </w:r>
          </w:p>
        </w:tc>
        <w:tc>
          <w:tcPr>
            <w:tcW w:type="dxa" w:w="21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למה זה עלול לקרות</w:t>
            </w:r>
          </w:p>
        </w:tc>
        <w:tc>
          <w:tcPr>
            <w:tcW w:type="dxa" w:w="496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דרך התמודדות</w:t>
            </w:r>
          </w:p>
        </w:tc>
      </w:tr>
      <w:tr>
        <w:tc>
          <w:tcPr>
            <w:tcW w:type="dxa" w:w="20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פגיעה בשיעור הזכאות</w:t>
            </w:r>
          </w:p>
        </w:tc>
        <w:tc>
          <w:tcPr>
            <w:tcW w:type="dxa" w:w="21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השארת תלמידים גבוליים ב-5 יחידות עלולה להוביל לכישלון בבחינה ולאובדן זכאות אצל חלקם.</w:t>
            </w:r>
          </w:p>
        </w:tc>
        <w:tc>
          <w:tcPr>
            <w:tcW w:type="dxa" w:w="49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הגדרת היעד כמדורג ולא כקפיצה; שמירה על אפשרות ירידה מבוקרת עד מועד מוגדר בכיתה י"א; ניטור חודשי של קבוצת הסיכון; הצהרה מפורשת שיעד הזכאות אינו מוותר. זהו הסיכון המרכזי, והוא חייב להיות מטופל בגלוי מן הרגע הראשון.</w:t>
            </w:r>
          </w:p>
        </w:tc>
      </w:tr>
      <w:tr>
        <w:tc>
          <w:tcPr>
            <w:tcW w:type="dxa" w:w="20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התנגדות סמויה של הסגל</w:t>
            </w:r>
          </w:p>
        </w:tc>
        <w:tc>
          <w:tcPr>
            <w:tcW w:type="dxa" w:w="21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המורים עלולים לחוות את התוכנית כהעברת אחריות אליהם ללא משאבים, ואת ההשוואה לאנגלית כביקורת על עבודתם.</w:t>
            </w:r>
          </w:p>
        </w:tc>
        <w:tc>
          <w:tcPr>
            <w:tcW w:type="dxa" w:w="49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מסגור התהליך כלמידה הדדית ולא כתיקון; שיתוף רכז המתמטיקה בעיצוב מן השלב הראשון; הקצאת זמן מפורשת ולא הוספה לעומס קיים; הכרה פומבית בשני הצוותים.</w:t>
            </w:r>
          </w:p>
        </w:tc>
      </w:tr>
      <w:tr>
        <w:tc>
          <w:tcPr>
            <w:tcW w:type="dxa" w:w="20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הפרקטיקות אינן ניתנות להעברה</w:t>
            </w:r>
          </w:p>
        </w:tc>
        <w:tc>
          <w:tcPr>
            <w:tcW w:type="dxa" w:w="21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ייתכן שהצלחת האנגלית נובעת מגורמים ייחודיים למקצוע, כגון חשיפה חוץ-בית ספרית לשפה, ולא מפרקטיקה בית ספרית.</w:t>
            </w:r>
          </w:p>
        </w:tc>
        <w:tc>
          <w:tcPr>
            <w:tcW w:type="dxa" w:w="49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דירוג מפורש של יכולת ההעברה של כל פרקטיקה כבר בשלב 2; הרצה בכיתה אחת לפני הרחבה; נכונות מוצהרת לוותר על פרקטיקה שאינה עובדת בלי לראות בכך כישלון של התוכנית.</w:t>
            </w:r>
          </w:p>
        </w:tc>
      </w:tr>
      <w:tr>
        <w:tc>
          <w:tcPr>
            <w:tcW w:type="dxa" w:w="20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התוכנית נשארת על הנייר</w:t>
            </w:r>
          </w:p>
        </w:tc>
        <w:tc>
          <w:tcPr>
            <w:tcW w:type="dxa" w:w="21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לוח המחוונים והנוהל עלולים להתקיים פורמלית בלי שינוי בהתנהגות בפועל, כפי שקורה לעיתים במנגנוני מדידה.</w:t>
            </w:r>
          </w:p>
        </w:tc>
        <w:tc>
          <w:tcPr>
            <w:tcW w:type="dxa" w:w="49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קביעת הדיון החודשי כסעיף קבוע בישיבת הנהלה עם החלטות מתועדות; מדידת תפוקות התנהגותיות ולא רק קיום המנגנון; אחריות אישית שמית ולא מוסדית.</w:t>
            </w:r>
          </w:p>
        </w:tc>
      </w:tr>
      <w:tr>
        <w:tc>
          <w:tcPr>
            <w:tcW w:type="dxa" w:w="20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תלות בפרט ותחלופת סגל</w:t>
            </w:r>
          </w:p>
        </w:tc>
        <w:tc>
          <w:tcPr>
            <w:tcW w:type="dxa" w:w="21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עזיבת רכז המתמטיקה או מורה מפתח עלולה לקטוע את התהליך, בהינתן המחסור הארצי במורי מתמטיקה.</w:t>
            </w:r>
          </w:p>
        </w:tc>
        <w:tc>
          <w:tcPr>
            <w:tcW w:type="dxa" w:w="49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תיעוד כתוב של כל פרקטיקה כנוהל עבודה ולא כידע אישי; שותפות של שני מורים לפחות בכל רכיב; עיגון התהליך בתוכנית העבודה כדי שלא ייפול עם אדם בודד.</w:t>
            </w:r>
          </w:p>
        </w:tc>
      </w:tr>
      <w:tr>
        <w:tc>
          <w:tcPr>
            <w:tcW w:type="dxa" w:w="20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תיוג תלמידים</w:t>
            </w:r>
          </w:p>
        </w:tc>
        <w:tc>
          <w:tcPr>
            <w:tcW w:type="dxa" w:w="21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סימון תלמידים כ"בסיכון נשירה" עלול להגיע לידיעתם ולפגוע בדימוי העצמי ובמוטיבציה.</w:t>
            </w:r>
          </w:p>
        </w:tc>
        <w:tc>
          <w:tcPr>
            <w:tcW w:type="dxa" w:w="49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הגבלת הגישה לקובץ לבעלי תפקיד מוגדרים; ניסוח הפניות במונחי פעולה נדרשת ולא במונחי סיווג תלמיד; שיח מול התלמיד שמדגיש הזדמנות ותמיכה.</w:t>
            </w:r>
          </w:p>
        </w:tc>
      </w:tr>
    </w:tbl>
    <w:p>
      <w:pPr>
        <w:bidi/>
        <w:spacing w:after="100" w:before="180" w:line="360"/>
        <w:jc w:val="right"/>
      </w:pPr>
      <w:r>
        <w:rPr>
          <w:rFonts w:ascii="David" w:cs="David" w:eastAsia="David" w:hAnsi="David"/>
          <w:b/>
          <w:bCs/>
          <w:sz w:val="24"/>
          <w:szCs w:val="24"/>
          <w:rtl/>
        </w:rPr>
        <w:t xml:space="preserve">8. תפוקות ותוצאות</w:t>
      </w:r>
    </w:p>
    <w:p>
      <w:pPr>
        <w:bidi/>
        <w:spacing w:after="120" w:line="360"/>
        <w:jc w:val="both"/>
      </w:pPr>
      <w:r>
        <w:rPr>
          <w:rFonts w:ascii="David" w:cs="David" w:eastAsia="David" w:hAnsi="David"/>
          <w:sz w:val="24"/>
          <w:szCs w:val="24"/>
          <w:rtl/>
        </w:rPr>
        <w:t xml:space="preserve">הצגת המדדים נעשית לפי המודל הלוגי שנלמד בקורס, המבחין בין פעולות, תפוקות, תוצאות בטווחי זמן שונים והשפעה ארגונית, ומחייב קשר לוגי בין כל רמה לרמה שמעליה (אמבר, 2026). ההבחנה המרכזית היא בין תפוקה, המעידה שההתערבות בוצעה, לבין תוצאה, המעידה שמשהו השתנה בפועל.</w:t>
      </w:r>
    </w:p>
    <w:p>
      <w:pPr>
        <w:bidi/>
        <w:spacing w:after="80" w:before="160" w:line="300"/>
        <w:jc w:val="right"/>
      </w:pPr>
      <w:r>
        <w:rPr>
          <w:rFonts w:ascii="David" w:cs="David" w:eastAsia="David" w:hAnsi="David"/>
          <w:b/>
          <w:bCs/>
          <w:sz w:val="22"/>
          <w:szCs w:val="22"/>
          <w:rtl/>
        </w:rPr>
        <w:t xml:space="preserve">טבלה 11: מדדי תפוקות ותוצאות</w:t>
      </w:r>
    </w:p>
    <w:tbl>
      <w:tblPr>
        <w:bidiVisual/>
        <w:tblW w:type="dxa" w:w="9060"/>
        <w:tblBorders>
          <w:top w:val="single" w:color="8496B0" w:sz="4"/>
          <w:left w:val="single" w:color="8496B0" w:sz="4"/>
          <w:bottom w:val="single" w:color="8496B0" w:sz="4"/>
          <w:right w:val="single" w:color="8496B0" w:sz="4"/>
          <w:insideH w:val="single" w:color="B4C6E7" w:sz="2"/>
          <w:insideV w:val="single" w:color="B4C6E7" w:sz="2"/>
        </w:tblBorders>
      </w:tblPr>
      <w:tblGrid>
        <w:gridCol w:w="1500"/>
        <w:gridCol w:w="3600"/>
        <w:gridCol w:w="3960"/>
      </w:tblGrid>
      <w:tr>
        <w:trPr>
          <w:tblHeader/>
        </w:trPr>
        <w:tc>
          <w:tcPr>
            <w:tcW w:type="dxa" w:w="15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רמה</w:t>
            </w:r>
          </w:p>
        </w:tc>
        <w:tc>
          <w:tcPr>
            <w:tcW w:type="dxa" w:w="360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המדד</w:t>
            </w:r>
          </w:p>
        </w:tc>
        <w:tc>
          <w:tcPr>
            <w:tcW w:type="dxa" w:w="3960"/>
            <w:shd w:fill="1F3864" w:color="auto" w:val="clear"/>
            <w:tcMar>
              <w:top w:type="dxa" w:w="60"/>
              <w:left w:type="dxa" w:w="80"/>
              <w:bottom w:type="dxa" w:w="60"/>
              <w:right w:type="dxa" w:w="80"/>
            </w:tcMar>
          </w:tcPr>
          <w:p>
            <w:pPr>
              <w:bidi/>
              <w:spacing w:after="40" w:before="40" w:line="240"/>
              <w:jc w:val="right"/>
            </w:pPr>
            <w:r>
              <w:rPr>
                <w:rFonts w:ascii="David" w:cs="David" w:eastAsia="David" w:hAnsi="David"/>
                <w:b/>
                <w:bCs/>
                <w:color w:val="FFFFFF"/>
                <w:sz w:val="20"/>
                <w:szCs w:val="20"/>
                <w:rtl/>
              </w:rPr>
              <w:t xml:space="preserve">הקשר הלוגי לפעילות</w:t>
            </w:r>
          </w:p>
        </w:tc>
      </w:tr>
      <w:tr>
        <w:tc>
          <w:tcPr>
            <w:tcW w:type="dxa" w:w="15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תפוקות</w:t>
            </w:r>
          </w:p>
        </w:tc>
        <w:tc>
          <w:tcPr>
            <w:tcW w:type="dxa" w:w="36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מספר מפגשי קהילת הלמידה שהתקיימו מתוך שבעה; מספר הפרקטיקות שתועדו כנוהל עבודה; קיומו של יעד מספרי מעוגן בתוכנית העבודה; שיעור החלטות שינוי הרמה שתועדו לפי הנוהל החדש; מספר הדיונים החודשיים שהתקיימו.</w:t>
            </w:r>
          </w:p>
        </w:tc>
        <w:tc>
          <w:tcPr>
            <w:tcW w:type="dxa" w:w="39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מודדים שההתערבות בוצעה כמתוכנן. אינם מעידים על שינוי, אך בלעדיהם אין בסיס לצפות לתוצאה.</w:t>
            </w:r>
          </w:p>
        </w:tc>
      </w:tr>
      <w:tr>
        <w:tc>
          <w:tcPr>
            <w:tcW w:type="dxa" w:w="15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תוצאות טווח מיידי (עד שנה)</w:t>
            </w:r>
          </w:p>
        </w:tc>
        <w:tc>
          <w:tcPr>
            <w:tcW w:type="dxa" w:w="36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ירידה בשיעור התלמידים שירדו מ-5 ל-4 יחידות בשכבות ט' וי' לעומת נקודת המוצא; עלייה בשיעור התלמידים שזוהו מראש כבסיכון וקיבלו מענה פרטני; שינוי מדווח בעמדות מורים ויועצות לגבי החלופות להורדת רמה.</w:t>
            </w:r>
          </w:p>
        </w:tc>
        <w:tc>
          <w:tcPr>
            <w:tcW w:type="dxa" w:w="39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הפעילות שינתה את נוהל ההחלטה ואת החלופות הזמינות, ולכן צפוי שינוי מיידי בהתנהגות בנקודת ההחלטה.</w:t>
            </w:r>
          </w:p>
        </w:tc>
      </w:tr>
      <w:tr>
        <w:tc>
          <w:tcPr>
            <w:tcW w:type="dxa" w:w="15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תוצאות טווח בינוני (שנתיים עד שלוש)</w:t>
            </w:r>
          </w:p>
        </w:tc>
        <w:tc>
          <w:tcPr>
            <w:tcW w:type="dxa" w:w="36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עלייה בשיעור תלמידי י"א ו-י"ב הלומדים 5 יחידות מתמטיקה; יציבות או שיפור בציון הממוצע במקצוע; שמירה על שיעור הזכאות ברמה של 90% ומעלה.</w:t>
            </w:r>
          </w:p>
        </w:tc>
        <w:tc>
          <w:tcPr>
            <w:tcW w:type="dxa" w:w="39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צמצום הנשירה בשכבות הנמוכות מתורגם, בהפרש של שנתיים, לגודל קבוצת הלומדים בשכבות הגבוהות.</w:t>
            </w:r>
          </w:p>
        </w:tc>
      </w:tr>
      <w:tr>
        <w:tc>
          <w:tcPr>
            <w:tcW w:type="dxa" w:w="1500"/>
            <w:tcMar>
              <w:top w:type="dxa" w:w="60"/>
              <w:left w:type="dxa" w:w="80"/>
              <w:bottom w:type="dxa" w:w="60"/>
              <w:right w:type="dxa" w:w="80"/>
            </w:tcMar>
          </w:tcPr>
          <w:p>
            <w:pPr>
              <w:bidi/>
              <w:spacing w:after="40" w:before="40" w:line="240"/>
              <w:jc w:val="right"/>
            </w:pPr>
            <w:r>
              <w:rPr>
                <w:rFonts w:ascii="David" w:cs="David" w:eastAsia="David" w:hAnsi="David"/>
                <w:b/>
                <w:bCs/>
                <w:sz w:val="20"/>
                <w:szCs w:val="20"/>
                <w:rtl/>
              </w:rPr>
              <w:t xml:space="preserve">תוצאות טווח ארוך והשפעה (שלוש עד חמש שנים)</w:t>
            </w:r>
          </w:p>
        </w:tc>
        <w:tc>
          <w:tcPr>
            <w:tcW w:type="dxa" w:w="360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עלייה בשיעור בגרות ההייטק לעבר הממוצע הארצי ומעליו; עלייה בשיעור הבוגרים הפונים למסלולים מדעיים והנדסיים; התכנסות בין הזהות המוצהרת של בית הספר לבין תפוקתו בפועל.</w:t>
            </w:r>
          </w:p>
        </w:tc>
        <w:tc>
          <w:tcPr>
            <w:tcW w:type="dxa" w:w="3960"/>
            <w:tcMar>
              <w:top w:type="dxa" w:w="60"/>
              <w:left w:type="dxa" w:w="80"/>
              <w:bottom w:type="dxa" w:w="60"/>
              <w:right w:type="dxa" w:w="80"/>
            </w:tcMar>
          </w:tcPr>
          <w:p>
            <w:pPr>
              <w:bidi/>
              <w:spacing w:after="40" w:before="40" w:line="240"/>
              <w:jc w:val="right"/>
            </w:pPr>
            <w:r>
              <w:rPr>
                <w:rFonts w:ascii="David" w:cs="David" w:eastAsia="David" w:hAnsi="David"/>
                <w:b w:val="false"/>
                <w:bCs w:val="false"/>
                <w:sz w:val="20"/>
                <w:szCs w:val="20"/>
                <w:rtl/>
              </w:rPr>
              <w:t xml:space="preserve">עלייה במספר בוגרי 5 יחידות מתמטיקה היא התנאי החסר לבגרות הייטק, שכן 5 יחידות אנגלית כבר קיימות בשיעור גבוה.</w:t>
            </w:r>
          </w:p>
        </w:tc>
      </w:tr>
    </w:tbl>
    <w:p>
      <w:pPr>
        <w:bidi/>
        <w:spacing w:after="100" w:before="180" w:line="360"/>
        <w:jc w:val="right"/>
      </w:pPr>
      <w:r>
        <w:rPr>
          <w:rFonts w:ascii="David" w:cs="David" w:eastAsia="David" w:hAnsi="David"/>
          <w:b/>
          <w:bCs/>
          <w:sz w:val="24"/>
          <w:szCs w:val="24"/>
          <w:rtl/>
        </w:rPr>
        <w:t xml:space="preserve">9. מגבלות התכנון</w:t>
      </w:r>
    </w:p>
    <w:p>
      <w:pPr>
        <w:bidi/>
        <w:spacing w:after="120" w:line="360"/>
        <w:jc w:val="both"/>
      </w:pPr>
      <w:r>
        <w:rPr>
          <w:rFonts w:ascii="David" w:cs="David" w:eastAsia="David" w:hAnsi="David"/>
          <w:sz w:val="24"/>
          <w:szCs w:val="24"/>
          <w:rtl/>
        </w:rPr>
        <w:t xml:space="preserve">התוכנית נבנתה על בסיס מידע גלוי בלבד, ולכן מונחת על שורה של הנחות שיש לבחון לפני יישום. ההנחה המרכזית היא השערת התמריצים: שהחסם העיקרי הוא מערכת המדידה ולא איכות ההוראה או זמינות המורים. אם האבחון יגלה שבבית הספר יש מורה אחד בלבד המוסמך ללמד 5 יחידות, ההתערבות המוצעת אינה מספיקה, ותידרש קודם לה התערבות בגיוס ובהכשרה. הנחה שנייה היא שהצלחת האנגלית נובעת מפרקטיקה בית ספרית הניתנת להעברה, ולא ממאפיין ייחודי למקצוע כגון חשיפה לשפה מחוץ לבית הספר. הנחה שלישית היא שקיימת קבוצת תלמידים גבוליים בגודל משמעותי, ולא מיעוט זניח.</w:t>
      </w:r>
    </w:p>
    <w:p>
      <w:pPr>
        <w:bidi/>
        <w:spacing w:after="120" w:line="360"/>
        <w:jc w:val="both"/>
      </w:pPr>
      <w:r>
        <w:rPr>
          <w:rFonts w:ascii="David" w:cs="David" w:eastAsia="David" w:hAnsi="David"/>
          <w:sz w:val="24"/>
          <w:szCs w:val="24"/>
          <w:rtl/>
        </w:rPr>
        <w:t xml:space="preserve">המידע החסר המרכזי הוא נתוני הזרימה: כמה תלמידים נכנסים לרמת 5 יחידות בכיתה ט' וכמה מסיימים בי"ב, ובאיזו שכבה מתרחשת הנשירה. בלי נתון זה לא ניתן לדעת אם הבעיה היא כניסה או יציאה, והתוכנית הנוכחית מניחה שהיא יציאה. חסרים גם נתוני כוח אדם, אופן קבלת ההחלטות בפועל, והיעדים הפנימיים שבית הספר הציב לעצמו. שלושה דברים היה חשוב לבדוק לפני יישום אמיתי: ניתוח היסטורי של שלושה מחזורים לזיהוי נקודת הנשירה; מיפוי הסמכות המקצועית של צוות המתמטיקה; ובירור האם קיימת כבר תוכנית מצוינות מדעית ברשת או במשרד החינוך שאפשר להתחבר אליה במקום לבנות מנגנון מקביל.</w:t>
      </w:r>
    </w:p>
    <w:p>
      <w:pPr>
        <w:bidi/>
        <w:spacing w:after="120" w:line="360"/>
        <w:jc w:val="both"/>
      </w:pPr>
      <w:r>
        <w:rPr>
          <w:rFonts w:ascii="David" w:cs="David" w:eastAsia="David" w:hAnsi="David"/>
          <w:sz w:val="24"/>
          <w:szCs w:val="24"/>
          <w:rtl/>
        </w:rPr>
        <w:t xml:space="preserve">לבסוף, יש להכיר במגבלת התכנון עצמו. עבודה זו מציעה מנגנון ולא פתרון שלם: היא מטפלת במה שנמדד ובמה שאפשר לעשות במקום להוריד רמה, אך אינה מטפלת ישירות בגורמי הסביבה החיצונית שזוהו בפרק א', ובראשם המחסור הארצי במורי מתמטיקה. אם גורם זה יתברר כמכריע בבית הספר הספציפי, יש להקדים לו התערבות בניהול משאבי אנוש ולראות ב"מנוף חמש" שלב שני ולא ראשון.</w:t>
      </w:r>
    </w:p>
    <w:p>
      <w:r>
        <w:br w:type="page"/>
      </w:r>
    </w:p>
    <w:p>
      <w:pPr>
        <w:bidi/>
        <w:spacing w:after="200" w:before="0" w:line="360"/>
        <w:jc w:val="right"/>
      </w:pPr>
      <w:r>
        <w:rPr>
          <w:rFonts w:ascii="David" w:cs="David" w:eastAsia="David" w:hAnsi="David"/>
          <w:b/>
          <w:bCs/>
          <w:sz w:val="30"/>
          <w:szCs w:val="30"/>
          <w:rtl/>
        </w:rPr>
        <w:t xml:space="preserve">רשימת מקורות</w:t>
      </w:r>
    </w:p>
    <w:p>
      <w:pPr>
        <w:bidi/>
        <w:spacing w:after="160" w:line="360"/>
        <w:ind w:start="709" w:hanging="709"/>
        <w:jc w:val="both"/>
      </w:pPr>
      <w:r>
        <w:rPr>
          <w:rFonts w:ascii="David" w:cs="David" w:eastAsia="David" w:hAnsi="David"/>
          <w:sz w:val="24"/>
          <w:szCs w:val="24"/>
          <w:rtl/>
        </w:rPr>
        <w:t xml:space="preserve">אמבר, ת' (2026). </w:t>
      </w:r>
      <w:r>
        <w:rPr>
          <w:rFonts w:ascii="David" w:cs="David" w:eastAsia="David" w:hAnsi="David"/>
          <w:i/>
          <w:iCs/>
          <w:sz w:val="24"/>
          <w:szCs w:val="24"/>
          <w:rtl/>
        </w:rPr>
        <w:t xml:space="preserve">שיפור ארגונים באמצעות אבחון והתערבות: מפגשים קבוצתיים 1 עד 5</w:t>
      </w:r>
      <w:r>
        <w:rPr>
          <w:rFonts w:ascii="David" w:cs="David" w:eastAsia="David" w:hAnsi="David"/>
          <w:sz w:val="24"/>
          <w:szCs w:val="24"/>
          <w:rtl/>
        </w:rPr>
        <w:t xml:space="preserve"> [מצגות הרצאה]. הקורס שיפור ארגונים באמצעות אבחון והתערבות (3098), המרכז האקדמי פרס.</w:t>
      </w:r>
    </w:p>
    <w:p>
      <w:pPr>
        <w:bidi/>
        <w:spacing w:after="160" w:line="360"/>
        <w:ind w:start="709" w:hanging="709"/>
        <w:jc w:val="both"/>
      </w:pPr>
      <w:r>
        <w:rPr>
          <w:rFonts w:ascii="David" w:cs="David" w:eastAsia="David" w:hAnsi="David"/>
          <w:sz w:val="24"/>
          <w:szCs w:val="24"/>
          <w:rtl/>
        </w:rPr>
        <w:t xml:space="preserve">דה מרקר. (2025, 28 באוקטובר). </w:t>
      </w:r>
      <w:r>
        <w:rPr>
          <w:rFonts w:ascii="David" w:cs="David" w:eastAsia="David" w:hAnsi="David"/>
          <w:i/>
          <w:iCs/>
          <w:sz w:val="24"/>
          <w:szCs w:val="24"/>
          <w:rtl/>
        </w:rPr>
        <w:t xml:space="preserve">שנה שנייה ברציפות: ירידה בזכאות לבגרות 5 יחידות במתמטיקה והייטק</w:t>
      </w:r>
      <w:r>
        <w:rPr>
          <w:rFonts w:ascii="David" w:cs="David" w:eastAsia="David" w:hAnsi="David"/>
          <w:sz w:val="24"/>
          <w:szCs w:val="24"/>
          <w:rtl/>
        </w:rPr>
        <w:t xml:space="preserve">. </w:t>
      </w:r>
      <w:r>
        <w:rPr>
          <w:rFonts w:ascii="Times New Roman" w:cs="Times New Roman" w:eastAsia="Times New Roman" w:hAnsi="Times New Roman"/>
          <w:sz w:val="20"/>
          <w:szCs w:val="20"/>
        </w:rPr>
        <w:t xml:space="preserve">https://www.themarker.com/news/education/2025-10-28/ty-article/0000019a-2937-ddf1-a1db-fdff22a70000</w:t>
      </w:r>
    </w:p>
    <w:p>
      <w:pPr>
        <w:bidi/>
        <w:spacing w:after="160" w:line="360"/>
        <w:ind w:start="709" w:hanging="709"/>
        <w:jc w:val="both"/>
      </w:pPr>
      <w:r>
        <w:rPr>
          <w:rFonts w:ascii="David" w:cs="David" w:eastAsia="David" w:hAnsi="David"/>
          <w:sz w:val="24"/>
          <w:szCs w:val="24"/>
          <w:rtl/>
        </w:rPr>
        <w:t xml:space="preserve">מדלן. (2026). </w:t>
      </w:r>
      <w:r>
        <w:rPr>
          <w:rFonts w:ascii="David" w:cs="David" w:eastAsia="David" w:hAnsi="David"/>
          <w:i/>
          <w:iCs/>
          <w:sz w:val="24"/>
          <w:szCs w:val="24"/>
          <w:rtl/>
        </w:rPr>
        <w:t xml:space="preserve">בית ספר תיכון דרכא ע"ש מקסים לוי, לוד: פרופיל בית ספר ונתוני הישגים</w:t>
      </w:r>
      <w:r>
        <w:rPr>
          <w:rFonts w:ascii="David" w:cs="David" w:eastAsia="David" w:hAnsi="David"/>
          <w:sz w:val="24"/>
          <w:szCs w:val="24"/>
          <w:rtl/>
        </w:rPr>
        <w:t xml:space="preserve">. אוחזר ב-13 באוגוסט, 2026, מתוך </w:t>
      </w:r>
      <w:r>
        <w:rPr>
          <w:rFonts w:ascii="Times New Roman" w:cs="Times New Roman" w:eastAsia="Times New Roman" w:hAnsi="Times New Roman"/>
          <w:sz w:val="20"/>
          <w:szCs w:val="20"/>
        </w:rPr>
        <w:t xml:space="preserve">https://www.madlan.co.il/education/school/444612</w:t>
      </w:r>
    </w:p>
    <w:p>
      <w:pPr>
        <w:bidi/>
        <w:spacing w:after="160" w:line="360"/>
        <w:ind w:start="709" w:hanging="709"/>
        <w:jc w:val="both"/>
      </w:pPr>
      <w:r>
        <w:rPr>
          <w:rFonts w:ascii="David" w:cs="David" w:eastAsia="David" w:hAnsi="David"/>
          <w:sz w:val="24"/>
          <w:szCs w:val="24"/>
          <w:rtl/>
        </w:rPr>
        <w:t xml:space="preserve">קרן טראמפ ורשת ערי מצוינות. (2026). </w:t>
      </w:r>
      <w:r>
        <w:rPr>
          <w:rFonts w:ascii="David" w:cs="David" w:eastAsia="David" w:hAnsi="David"/>
          <w:i/>
          <w:iCs/>
          <w:sz w:val="24"/>
          <w:szCs w:val="24"/>
          <w:rtl/>
        </w:rPr>
        <w:t xml:space="preserve">מדד בגרות הייטק לשנת 2024: מסלול לימודים המשלב 5 יח"ל מתמטיקה, 5 יח"ל אנגלית ומקצוע מדעי-טכנולוגי מורחב</w:t>
      </w:r>
      <w:r>
        <w:rPr>
          <w:rFonts w:ascii="David" w:cs="David" w:eastAsia="David" w:hAnsi="David"/>
          <w:sz w:val="24"/>
          <w:szCs w:val="24"/>
          <w:rtl/>
        </w:rPr>
        <w:t xml:space="preserve">. קרן טראמפ. </w:t>
      </w:r>
      <w:r>
        <w:rPr>
          <w:rFonts w:ascii="Times New Roman" w:cs="Times New Roman" w:eastAsia="Times New Roman" w:hAnsi="Times New Roman"/>
          <w:sz w:val="20"/>
          <w:szCs w:val="20"/>
        </w:rPr>
        <w:t xml:space="preserve">https://www.trump.org.il</w:t>
      </w:r>
    </w:p>
    <w:p>
      <w:pPr>
        <w:bidi/>
        <w:spacing w:after="160" w:line="360"/>
        <w:ind w:start="709" w:hanging="709"/>
        <w:jc w:val="both"/>
      </w:pPr>
      <w:r>
        <w:rPr>
          <w:rFonts w:ascii="David" w:cs="David" w:eastAsia="David" w:hAnsi="David"/>
          <w:sz w:val="24"/>
          <w:szCs w:val="24"/>
          <w:rtl/>
        </w:rPr>
        <w:t xml:space="preserve">רשת דרכא. (2026). </w:t>
      </w:r>
      <w:r>
        <w:rPr>
          <w:rFonts w:ascii="David" w:cs="David" w:eastAsia="David" w:hAnsi="David"/>
          <w:i/>
          <w:iCs/>
          <w:sz w:val="24"/>
          <w:szCs w:val="24"/>
          <w:rtl/>
        </w:rPr>
        <w:t xml:space="preserve">תיכון דרכא למדעים ואמנויות ע"ש מקסים לוי, לוד</w:t>
      </w:r>
      <w:r>
        <w:rPr>
          <w:rFonts w:ascii="David" w:cs="David" w:eastAsia="David" w:hAnsi="David"/>
          <w:sz w:val="24"/>
          <w:szCs w:val="24"/>
          <w:rtl/>
        </w:rPr>
        <w:t xml:space="preserve">. אוחזר ב-13 באוגוסט, 2026, מתוך </w:t>
      </w:r>
      <w:r>
        <w:rPr>
          <w:rFonts w:ascii="Times New Roman" w:cs="Times New Roman" w:eastAsia="Times New Roman" w:hAnsi="Times New Roman"/>
          <w:sz w:val="20"/>
          <w:szCs w:val="20"/>
        </w:rPr>
        <w:t xml:space="preserve">https://darca.org.il</w:t>
      </w:r>
    </w:p>
    <w:p>
      <w:pPr>
        <w:spacing w:after="160" w:line="360"/>
        <w:ind w:start="709" w:hanging="709"/>
        <w:jc w:val="left"/>
      </w:pPr>
      <w:r>
        <w:rPr>
          <w:rFonts w:ascii="Times New Roman" w:cs="Times New Roman" w:eastAsia="Times New Roman" w:hAnsi="Times New Roman"/>
          <w:sz w:val="24"/>
          <w:szCs w:val="24"/>
        </w:rPr>
        <w:t xml:space="preserve">Cummings, T. G. (2019). </w:t>
      </w:r>
      <w:r>
        <w:rPr>
          <w:rFonts w:ascii="Times New Roman" w:cs="Times New Roman" w:eastAsia="Times New Roman" w:hAnsi="Times New Roman"/>
          <w:i/>
          <w:iCs/>
          <w:sz w:val="24"/>
          <w:szCs w:val="24"/>
        </w:rPr>
        <w:t xml:space="preserve">Organization development and change</w:t>
      </w:r>
      <w:r>
        <w:rPr>
          <w:rFonts w:ascii="Times New Roman" w:cs="Times New Roman" w:eastAsia="Times New Roman" w:hAnsi="Times New Roman"/>
          <w:sz w:val="24"/>
          <w:szCs w:val="24"/>
        </w:rPr>
        <w:t xml:space="preserve"> (EMEA ed.). Cengage Learning.</w:t>
      </w:r>
    </w:p>
    <w:p>
      <w:pPr>
        <w:spacing w:after="160" w:line="360"/>
        <w:ind w:start="709" w:hanging="709"/>
        <w:jc w:val="left"/>
      </w:pPr>
      <w:r>
        <w:rPr>
          <w:rFonts w:ascii="Times New Roman" w:cs="Times New Roman" w:eastAsia="Times New Roman" w:hAnsi="Times New Roman"/>
          <w:sz w:val="24"/>
          <w:szCs w:val="24"/>
        </w:rPr>
        <w:t xml:space="preserve">Hagl, C., Kanitz, R., Gonzalez, K., &amp; Hoegl, M. (2024). Change management interventions: Taking stock and moving forward. </w:t>
      </w:r>
      <w:r>
        <w:rPr>
          <w:rFonts w:ascii="Times New Roman" w:cs="Times New Roman" w:eastAsia="Times New Roman" w:hAnsi="Times New Roman"/>
          <w:i/>
          <w:iCs/>
          <w:sz w:val="24"/>
          <w:szCs w:val="24"/>
        </w:rPr>
        <w:t xml:space="preserve">Human Resource Management Review, 34</w:t>
      </w:r>
      <w:r>
        <w:rPr>
          <w:rFonts w:ascii="Times New Roman" w:cs="Times New Roman" w:eastAsia="Times New Roman" w:hAnsi="Times New Roman"/>
          <w:sz w:val="24"/>
          <w:szCs w:val="24"/>
        </w:rPr>
        <w:t xml:space="preserve">(1), 101000. https://doi.org/10.1016/j.hrmr.2023.101000</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4cef0325db48f95556428e5caa0c4856e4ca5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2026-08-13T18:58:23.128Z</dcterms:created>
  <dcterms:modified xsi:type="dcterms:W3CDTF">2026-08-13T18:58:23.128Z</dcterms:modified>
</cp:coreProperties>
</file>

<file path=docProps/custom.xml><?xml version="1.0" encoding="utf-8"?>
<Properties xmlns="http://schemas.openxmlformats.org/officeDocument/2006/custom-properties" xmlns:vt="http://schemas.openxmlformats.org/officeDocument/2006/docPropsVTypes"/>
</file>