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60"/>
        <w:jc w:val="center"/>
      </w:pPr>
      <w:r>
        <w:rPr>
          <w:rFonts w:ascii="David" w:cs="David" w:eastAsia="David" w:hAnsi="David"/>
          <w:b/>
          <w:bCs/>
          <w:sz w:val="32"/>
          <w:szCs w:val="32"/>
          <w:rtl/>
        </w:rPr>
        <w:t xml:space="preserve">מטלה 4: הרקע התאורטי (סקירת ספרות)</w:t>
      </w:r>
    </w:p>
    <w:p>
      <w:pPr>
        <w:bidi/>
        <w:spacing w:after="0" w:line="360"/>
        <w:ind w:firstLine="709"/>
        <w:jc w:val="both"/>
      </w:pPr>
      <w:r>
        <w:rPr>
          <w:rFonts w:ascii="David" w:cs="David" w:eastAsia="David" w:hAnsi="David"/>
          <w:b w:val="false"/>
          <w:bCs w:val="false"/>
          <w:sz w:val="24"/>
          <w:szCs w:val="24"/>
          <w:rtl/>
        </w:rPr>
        <w:t xml:space="preserve">מלחמת "חרבות ברזל", שפרצה באוקטובר 2023, העמידה את מנהלי בתי הספר בדרום מול מציאות שאין לה תקדים במערכת החינוך הישראלית: פינוי יישובים, ירי מתמשך, אובדן ופיצול של קהילות שלמות, ביישובי עוטף עזה, בערי הדרום ובפזורה הבדואית כאחד. בתוך המציאות הזאת נדרשו המנהלים להמשיך להוביל: לקבל החלטות, להחזיק צוות, לדבר עם הורים, ובה בעת לשמור על משהו שאפשר לקרוא לו כיוון. הסקירה בנויה כמשפך: ממושגי היסוד של מנהיגות וחזון, דרך תפיסת התפקיד של המנהל ומנהיגות במשבר, אל המלחמה הנוכחית ומנהלי הדרום, ומשם אל שאלת המחקר.</w:t>
      </w:r>
    </w:p>
    <w:p>
      <w:pPr>
        <w:bidi/>
        <w:spacing w:after="0" w:before="120" w:line="360"/>
        <w:jc w:val="right"/>
      </w:pPr>
      <w:r>
        <w:rPr>
          <w:rFonts w:ascii="David" w:cs="David" w:eastAsia="David" w:hAnsi="David"/>
          <w:b/>
          <w:bCs/>
          <w:sz w:val="26"/>
          <w:szCs w:val="26"/>
          <w:rtl/>
        </w:rPr>
        <w:t xml:space="preserve">1. מנהיגות, ניהול וחזון בארגונים</w:t>
      </w:r>
    </w:p>
    <w:p>
      <w:pPr>
        <w:bidi/>
        <w:spacing w:after="0" w:line="360"/>
        <w:ind w:firstLine="709"/>
        <w:jc w:val="both"/>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איוש ובקרה, ואילו מנהיגות עוסקת בהתמודדות עם שינוי: קביעת כיוון, גיוס אנשים סביבו והנעתם. ניהול טוב מייצר סדר ויכולת חיזוי, מנהיגות טובה מייצרת תנועה. שני הדברים נחוצים לארגון, אך הם אינם זהים, ואדם יכול להצטיין באחד ולהיכשל בשני. החזון, לפי תפיסה זו, אינו מסמך תלוי על הקיר אלא תמונת עתיד שמסבירה לאנשים לאן הולכים ומדוע, ושמאפשרת להם לפעול גם כשאין הנחיה מפורטת לכל מצב.</w:t>
      </w:r>
    </w:p>
    <w:p>
      <w:pPr>
        <w:bidi/>
        <w:spacing w:after="0" w:line="360"/>
        <w:ind w:firstLine="709"/>
        <w:jc w:val="both"/>
      </w:pPr>
      <w:r>
        <w:rPr>
          <w:rFonts w:ascii="David" w:cs="David" w:eastAsia="David" w:hAnsi="David"/>
          <w:b w:val="false"/>
          <w:bCs w:val="false"/>
          <w:sz w:val="24"/>
          <w:szCs w:val="24"/>
          <w:rtl/>
        </w:rPr>
        <w:t xml:space="preserve">באס (Bass, 1985) פיתח רעיון זה במודל המנהיגות המעצבת, שבה המנהיג אינו מסתפק בחליפין של תגמול תמורת ביצוע, אלא משנה את הרצונות של אנשיו עצמם. המודל מבחין בארבעה מרכיבים: השפעה אידיאלית, שבה המנהיג משמש דוגמה אישית; הנעה מעוררת השראה, שבה הוא מנסח חזון משותף ומקנה משמעות לעבודה; גירוי אינטלקטואלי, שמזמין את הצוות לחשוב מחדש על הנחות יסוד; והתייחסות אישית לצרכיו של כל עובד. התוצאה, לפי באס, היא ביצוע מעבר לציפיות המקוריות. חומרי הקורס מציגים את הצגת החזון, כלומר היכולת להגדיר מטרה משותפת בצורה ברורה ומוחשית, כתכונה שזוכה להסכמה הרחבה ביותר בין תאוריות המנהיגות, לצד קבלת החלטות תחת סיכון, הובלת שינוי, האצלת סמכויות ואומץ. באותם חומרים מוצגת גם התפיסה שלפיה מנהיגות אינה בהכרח תכונה מולדת, וכל אדם עשוי להיות מנהיג בשלב מסוים בחייו כל עוד פעולותיו מכוונות להוביל ולסייע (ג'ראיסי, 2026). שלושת המקורות מסכימים על נקודה אחת: מנהל בלי חזון מנהל, אבל אינו מנהיג.</w:t>
      </w:r>
    </w:p>
    <w:p>
      <w:pPr>
        <w:bidi/>
        <w:spacing w:after="0" w:before="120" w:line="360"/>
        <w:jc w:val="right"/>
      </w:pPr>
      <w:r>
        <w:rPr>
          <w:rFonts w:ascii="David" w:cs="David" w:eastAsia="David" w:hAnsi="David"/>
          <w:b/>
          <w:bCs/>
          <w:sz w:val="26"/>
          <w:szCs w:val="26"/>
          <w:rtl/>
        </w:rPr>
        <w:t xml:space="preserve">2. תפיסת התפקיד של מנהל בית הספר</w:t>
      </w:r>
    </w:p>
    <w:p>
      <w:pPr>
        <w:bidi/>
        <w:spacing w:after="0" w:line="360"/>
        <w:ind w:firstLine="709"/>
        <w:jc w:val="both"/>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אופלטקה (2022) מתאר את תפקיד המנהל בישראל כתפקיד שהולך ומסתבך: לצד האחריות המנהלית והפדגוגית נדרש המנהל לעצב חזון ולהוביל אליו את הצוות, ולהחזיק בו-זמנית ציפיות סותרות של משרד החינוך, הרשות המקומית, ההורים והמורים. רפורמות חוזרות ונשנות מוסיפות לתפקיד שכבות של אחריות בלי להסיר את הקודמות, וכך המנהל מוצא את עצמו מתמרן בין דרישות שאינן מתיישבות זו עם זו.</w:t>
      </w:r>
    </w:p>
    <w:p>
      <w:pPr>
        <w:bidi/>
        <w:spacing w:after="0" w:line="360"/>
        <w:ind w:firstLine="709"/>
        <w:jc w:val="both"/>
      </w:pPr>
      <w:r>
        <w:rPr>
          <w:rFonts w:ascii="David" w:cs="David" w:eastAsia="David" w:hAnsi="David"/>
          <w:b w:val="false"/>
          <w:bCs w:val="false"/>
          <w:sz w:val="24"/>
          <w:szCs w:val="24"/>
          <w:rtl/>
        </w:rPr>
        <w:t xml:space="preserve">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המטפורה, לפי גישה זו, אינה קישוט לשוני אלא כלי מחקרי: היא מפשטת מציאות מורכבת ומאפשרת למנהל לומר משהו על תפקידו שלא היה מנסח בשפה ישירה. תפיסת התפקיד, אם כן, אינה רשימת מטלות אלא פרשנות סובייקטיבית שהמנהל נותן למה שנדרש ממנו, והיא משתנה בין מנהלים גם באותה מערכת ובאותם תנאים.</w:t>
      </w:r>
    </w:p>
    <w:p>
      <w:pPr>
        <w:bidi/>
        <w:spacing w:after="0" w:line="360"/>
        <w:ind w:firstLine="709"/>
        <w:jc w:val="both"/>
      </w:pPr>
      <w:r>
        <w:rPr>
          <w:rFonts w:ascii="David" w:cs="David" w:eastAsia="David" w:hAnsi="David"/>
          <w:b w:val="false"/>
          <w:bCs w:val="false"/>
          <w:sz w:val="24"/>
          <w:szCs w:val="24"/>
          <w:rtl/>
        </w:rPr>
        <w:t xml:space="preserve">מאץ' (Mutch, 2015) מוסיפה כי פרשנות זו מתעצבת משלושה מקורות: נטיות אישיות של המנהל, כמו רוגע, נחישות ומחויבות לקהילה; מערכות היחסים שבנה עם הצוות ועם ההורים לפני האירוע; וההקשר שבו בית הספר פועל, ובכלל זה חומרת הפגיעה והמשאבים העומדים לרשות הקהילה. בהקשר הישראלי, הלוי ושכטר (2024) מצאו כי מנהלים בשנתם הראשונה נשענים על זהות מקצועית מגובשת ועל תחושת שליחות ומשמעות כפרקטיקות חוסן מרכזיות, לצד דחיית תגובה, אופטימיות ופרספקטיבה מאוזנת כלפי אירועים מלחיצים. תפיסת התפקיד, במילים אחרות, היא בעצמה משאב. מנהל שיודע מי הוא ולמה הוא שם מחזיק מעמד טוב יותר כשהתנאים משתנים.</w:t>
      </w:r>
    </w:p>
    <w:p>
      <w:pPr>
        <w:bidi/>
        <w:spacing w:after="0" w:before="120" w:line="360"/>
        <w:jc w:val="right"/>
      </w:pPr>
      <w:r>
        <w:rPr>
          <w:rFonts w:ascii="David" w:cs="David" w:eastAsia="David" w:hAnsi="David"/>
          <w:b/>
          <w:bCs/>
          <w:sz w:val="26"/>
          <w:szCs w:val="26"/>
          <w:rtl/>
        </w:rPr>
        <w:t xml:space="preserve">3. מנהיגות בית ספרית בשעת משבר</w:t>
      </w:r>
    </w:p>
    <w:p>
      <w:pPr>
        <w:bidi/>
        <w:spacing w:after="0" w:line="360"/>
        <w:ind w:firstLine="709"/>
        <w:jc w:val="both"/>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ומעצימה צוות ותלמידים לקראת מצוינות בהוראה ובלמידה, ואילו מנהיגות במשבר עוסקת באירועים, ברגשות ובהשלכות של ההווה המיידי, במטרה לצמצם את הנזק לבית הספר ולקהילתו. הם מבחינים בין שלבי המשבר, מההיערכות שלפניו, דרך התגובה בזמן אמת, ועד ההתאוששות והלמידה שאחריו, ומזהים תכונות נדרשות כמו החלטה מהירה על בסיס מידע חלקי, תקשורת ברורה, יצירתיות, אמפתיה ויכולת לעבור בין החלטות אינטואיטיביות לשיטתיות. השלב שאחרי המשבר, שבו בית הספר לומד מהאירוע ומתחדש, הוא השלב שבו החזון חוזר לתמונה.</w:t>
      </w:r>
    </w:p>
    <w:p>
      <w:pPr>
        <w:bidi/>
        <w:spacing w:after="0" w:line="360"/>
        <w:ind w:firstLine="709"/>
        <w:jc w:val="both"/>
      </w:pPr>
      <w:r>
        <w:rPr>
          <w:rFonts w:ascii="David" w:cs="David" w:eastAsia="David" w:hAnsi="David"/>
          <w:b w:val="false"/>
          <w:bCs w:val="false"/>
          <w:sz w:val="24"/>
          <w:szCs w:val="24"/>
          <w:rtl/>
        </w:rPr>
        <w:t xml:space="preserve">הריס וג'ונס (Harris &amp; Jones, 2020) הוסיפו, על רקע הקורונה, כי בשיבוש ממושך המודלים המוכרים של מנהיגות מאבדים מתוקפם: אין ספר הדרכה, המנהלים מעצבים את התפקיד מחדש תוך כדי תנועה, ומנהיגות מבוזרת ודאגה לרווחת הצוות הופכות מהמלצה לצורך. בישראל, שכטר ואחרים (2024) ראיינו 22 מנהלי חטיבות ביניים מחמישה מחוזות בקורונה וזיהו חמישה אתגרים: ניהולי-ארגוני, ניהול מרחוק, ניהול הלמידה הארגונית, תמיכה במשאב האנושי, ותמיכה "מלמעלה" לצד שמירה על הצוות מ"רעשים חיצוניים". האתגרים היו דומים בשתי החברות, אך בחברה הערבית המנהל והמורים פעלו יותר כקולקטיב ומרחקי הסמכות הצטמצמו, ממצא חשוב לנוכח הרכב האוכלוסייה בדרום.</w:t>
      </w:r>
    </w:p>
    <w:p>
      <w:pPr>
        <w:bidi/>
        <w:spacing w:after="0" w:line="360"/>
        <w:ind w:firstLine="709"/>
        <w:jc w:val="both"/>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בולט במיוחד השימוש במטפורות של מלחמה: הנגיף תואר כאויב בלתי נראה, בית הספר כחזית, וחלק מהמנהלים ראו את עצמם כחיילים המבצעים פקודות. אחרים תיארו את עצמם כציפור שרואה את התמונה המלאה. אם בקורונה המלחמה הייתה מטפורה, במחקר הנוכחי היא המציאות עצמה, ומעניין לבדוק אילו דימויים תופסים את מקומה.</w:t>
      </w:r>
    </w:p>
    <w:p>
      <w:pPr>
        <w:bidi/>
        <w:spacing w:after="0" w:before="120" w:line="360"/>
        <w:jc w:val="right"/>
      </w:pPr>
      <w:r>
        <w:rPr>
          <w:rFonts w:ascii="David" w:cs="David" w:eastAsia="David" w:hAnsi="David"/>
          <w:b/>
          <w:bCs/>
          <w:sz w:val="26"/>
          <w:szCs w:val="26"/>
          <w:rtl/>
        </w:rPr>
        <w:t xml:space="preserve">4. מנהלי בתי ספר במלחמת חרבות ברזל</w:t>
      </w:r>
    </w:p>
    <w:p>
      <w:pPr>
        <w:bidi/>
        <w:spacing w:after="0" w:line="360"/>
        <w:ind w:firstLine="709"/>
        <w:jc w:val="both"/>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 ראיינו 33 מנהלים שבתי הספר שלהם פונו, מבתי ספר יסודיים, חטיבות, תיכונים וחינוך מיוחד, וזיהו ארבעה ממדים של פעלנות: פעלנות תוך-אישית הנשענת על זהות פנימית, פעלנות ביקורתית שצמחה מתסכול מול כשלים מערכתיים ומכשולים בירוקרטיים, פעלנות שיתופית של בניית רשתות אמון ושותפויות, ופעלנות יוזמת שהניעה חדשנות והתחדשות. הממדים האלה אינם נפרדים: הביקורת על המערכת היא שדחפה מנהלים לבנות שותפויות משלהם, והשותפויות הן שאפשרו ליזום. המנהלים לא המתינו להנחיות, אלא ייצרו לעצמם מרחב פעולה, ותפקידם התברר כמרכזי ביצירת תחושת ביטחון ובשמירה על רציפות חינוכית בתנאים של אי-ודאות קיצונית.</w:t>
      </w:r>
    </w:p>
    <w:p>
      <w:pPr>
        <w:bidi/>
        <w:spacing w:after="0" w:line="360"/>
        <w:ind w:firstLine="709"/>
        <w:jc w:val="both"/>
      </w:pPr>
      <w:r>
        <w:rPr>
          <w:rFonts w:ascii="David" w:cs="David" w:eastAsia="David" w:hAnsi="David"/>
          <w:b w:val="false"/>
          <w:bCs w:val="false"/>
          <w:sz w:val="24"/>
          <w:szCs w:val="24"/>
          <w:rtl/>
        </w:rPr>
        <w:t xml:space="preserve">ניסים ונייפלד (Nissim &amp; Naifeld, 2025) בחנו במחקר משולב 177 אנשי חינוך לגיל הרך, תיארו אותם כעוגנים בתוך כאוס מתוך מסגרת של מנהיגות מסתגלת וזריזה, ומצאו עומס רגשי כבד לצד אחריות מוגברת ומורכבות ניהולית. גננות מובילות תפסו את עצמן כבעלות תכונות מנהיגות במידה רבה יותר מסייעות, אך לא נמצא קשר בין תפיסת המנהיגות לבין תחושת הביטחון במקום העבודה. כלומר, תפיסת התפקיד המנהיגותי מתעצבת גם בלי ביטחון פיזי, ואולי דווקא בהיעדרו. קפלן ואחרים (2025) ליוו מנהלות חדשות שנכנסו לתפקיד עם פרוץ המלחמה, ומצאו כי לאחר ההלם הראשוני הן נעזרו במקורות תמיכה שונים כדי להתמקד במשימות הניהול ולבנות שגרה חדשה המותאמת למצב. מה שאפשר את השגרה הזאת היה, לצד התמיכה, החזון החינוכי, התקשורת הבין-אישית והאיזון בין מיקוד במשימה לתמיכה רגשית. זהו המחקר היחיד שנמצא שבו החזון נבחן במפורש בזמן המלחמה, וממצאיו מרמזים שהחזון אינו מותרות של ימי שגרה אלא כלי עבודה בשעת חירום.</w:t>
      </w:r>
    </w:p>
    <w:p>
      <w:pPr>
        <w:bidi/>
        <w:spacing w:after="0" w:before="120" w:line="360"/>
        <w:jc w:val="right"/>
      </w:pPr>
      <w:r>
        <w:rPr>
          <w:rFonts w:ascii="David" w:cs="David" w:eastAsia="David" w:hAnsi="David"/>
          <w:b/>
          <w:bCs/>
          <w:sz w:val="26"/>
          <w:szCs w:val="26"/>
          <w:rtl/>
        </w:rPr>
        <w:t xml:space="preserve">5. מנהלי בתי ספר בדרום: הון, משאבים והפער המחקרי</w:t>
      </w:r>
    </w:p>
    <w:p>
      <w:pPr>
        <w:bidi/>
        <w:spacing w:after="0" w:line="360"/>
        <w:ind w:firstLine="709"/>
        <w:jc w:val="both"/>
      </w:pPr>
      <w:r>
        <w:rPr>
          <w:rFonts w:ascii="David" w:cs="David" w:eastAsia="David" w:hAnsi="David"/>
          <w:b w:val="false"/>
          <w:bCs w:val="false"/>
          <w:sz w:val="24"/>
          <w:szCs w:val="24"/>
          <w:rtl/>
        </w:rPr>
        <w:t xml:space="preserve">בקצה המשפך נמצאים מנהלי הדרום עצמם. מחקרו של אבו-גוידר (2025) הוא הקרוב ביותר להקשר של העבודה הנוכחית: הוא ראיין עשרה מנהלים מהחברה הבדואית בנגב, בגישה סלוטוגנית המתמקדת בגורמים השומרים על תפקוד בריא במצבי דחק, ומצא כי הם פעלו "מאפס למאה": גייסו משאבים בעצמם מול פערי תשתית קשים בלמידה מרחוק, בלי אינטרנט יציב ובלי מכשירים לתלמידים, ובד בבד התמודדו עם פחדים אישיים ומקצועיים. גורמי התמיכה החיצוניים כללו את משרד החינוך, ובעיקר מפקחים שסייעו בציוד טכנולוגי ובשירותים פסיכולוגיים. בתי הספר הפכו למרכזי תמיכה חברתית ולמקום מקלט פיזי, ונפתח שיח רגשי חדש עם ההורים, שינוי שהמנהלים תיארו כרווח יחיד של המשבר.</w:t>
      </w:r>
    </w:p>
    <w:p>
      <w:pPr>
        <w:bidi/>
        <w:spacing w:after="0" w:line="360"/>
        <w:ind w:firstLine="709"/>
        <w:jc w:val="both"/>
      </w:pPr>
      <w:r>
        <w:rPr>
          <w:rFonts w:ascii="David" w:cs="David" w:eastAsia="David" w:hAnsi="David"/>
          <w:b w:val="false"/>
          <w:bCs w:val="false"/>
          <w:sz w:val="24"/>
          <w:szCs w:val="24"/>
          <w:rtl/>
        </w:rPr>
        <w:t xml:space="preserve">ממצא זה מתחבר לתפיסת ההון של בורדייה, שנלמדה בקורס, שלפיה ההון מופיע בשלוש צורות: הון כלכלי, הון תרבותי והון חברתי. ההון החברתי הוא רשת של קשרים, אמון ומחויבות הדדית, ורשת כזאת אינה נתון טבעי אלא תוצר של מאמץ מתמשך להפוך קשרים מקריים לקשרים שאפשר להישען עליהם, ובכלל זה לגיוס משאבים בשעת מצוקה (Bourdieu, 1986, כפי שמצוטט אצל ג'ראיסי, 2026). מנהל שגייס ציוד, מתנדבים ותמיכה נפשית בתוך ימים לא עשה זאת מאפס, אלא הפעיל הון שצבר לפני המלחמה. מנהיגות חזונית במלחמה נשענת, אם כן, לא רק על תמונת עתיד אלא גם על ההון שהמנהל צבר לפניה, ועל היכולת להמיר אותו למשאבים ממשיים כשהמערכת עצמה מתקשה לספק אותם.</w:t>
      </w:r>
    </w:p>
    <w:p>
      <w:pPr>
        <w:bidi/>
        <w:spacing w:after="0" w:line="360"/>
        <w:ind w:firstLine="709"/>
        <w:jc w:val="both"/>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(הלוי ושכטר, 2024; Da'as et al., 2023). המחקרים על חרבות ברזל עסקו עד כה במנהלים מפונים, במנהלות חדשות, בגיל הרך או בחברה הבדואית, ואף אחד מהם לא בחן במישרין כיצד מנהלים בדרום, יהודים ובדואים, תופסים את הממד החזוני של תפקידם בזמן שהמלחמה נמשכת. פער זה הוא שמצדיק את שאלת המחקר ואת הבחירה בגישה איכותנית, שמאפשרת לשמוע את הפרשנות של המנהלים במילים שלהם: האם החזון נדחק לשוליים לטובת ההווה, או שהוא דווקא הופך לכלי שבאמצעותו המנהל מחזיק את בית הספר יחד.</w:t>
      </w:r>
    </w:p>
    <w:p>
      <w:r>
        <w:br w:type="page"/>
      </w:r>
    </w:p>
    <w:p>
      <w:pPr>
        <w:bidi/>
        <w:spacing w:after="120" w:before="120" w:line="360"/>
        <w:jc w:val="center"/>
      </w:pPr>
      <w:r>
        <w:rPr>
          <w:rFonts w:ascii="David" w:cs="David" w:eastAsia="David" w:hAnsi="David"/>
          <w:b/>
          <w:bCs/>
          <w:sz w:val="32"/>
          <w:szCs w:val="32"/>
          <w:rtl/>
        </w:rPr>
        <w:t xml:space="preserve">רשימת מקורות</w:t>
      </w:r>
    </w:p>
    <w:p>
      <w:pPr>
        <w:bidi/>
        <w:spacing w:after="0" w:line="360"/>
        <w:ind w:left="720" w:hanging="720"/>
        <w:jc w:val="right"/>
      </w:pPr>
      <w:r>
        <w:rPr>
          <w:rFonts w:ascii="David" w:cs="David" w:eastAsia="David" w:hAnsi="David"/>
          <w:sz w:val="24"/>
          <w:szCs w:val="24"/>
          <w:rtl/>
        </w:rPr>
        <w:t xml:space="preserve">אבו-גוידר, ע'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360"/>
        <w:ind w:left="720" w:hanging="720"/>
        <w:jc w:val="right"/>
      </w:pPr>
      <w:r>
        <w:rPr>
          <w:rFonts w:ascii="David" w:cs="David" w:eastAsia="David" w:hAnsi="David"/>
          <w:sz w:val="24"/>
          <w:szCs w:val="24"/>
          <w:rtl/>
        </w:rPr>
        <w:t xml:space="preserve">אופלטקה, י' (2022). יסודות מינהל החינוך: מנהיגות וניהול בארגון החינוכי (מהדורה רביעית). פרדס.</w:t>
      </w:r>
    </w:p>
    <w:p>
      <w:pPr>
        <w:bidi/>
        <w:spacing w:after="0" w:line="360"/>
        <w:ind w:left="720" w:hanging="720"/>
        <w:jc w:val="right"/>
      </w:pPr>
      <w:r>
        <w:rPr>
          <w:rFonts w:ascii="David" w:cs="David" w:eastAsia="David" w:hAnsi="David"/>
          <w:sz w:val="24"/>
          <w:szCs w:val="24"/>
          <w:rtl/>
        </w:rPr>
        <w:t xml:space="preserve">ג'ראיסי, ע' (2026). תיאוריות בנושא מנהיגות; צורות ההון כמרכיב מנהיגותי [מצגות הרצאה]. סמינר תהליכי חזון ומנהיגות בארגונים.</w:t>
      </w:r>
    </w:p>
    <w:p>
      <w:pPr>
        <w:bidi/>
        <w:spacing w:after="0" w:line="36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36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36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360"/>
        <w:ind w:left="720" w:hanging="720"/>
        <w:jc w:val="left"/>
      </w:pPr>
      <w:r>
        <w:rPr>
          <w:rFonts w:ascii="David" w:cs="David" w:eastAsia="David" w:hAnsi="David"/>
          <w:i w:val="false"/>
          <w:iCs w:val="false"/>
          <w:sz w:val="24"/>
          <w:szCs w:val="24"/>
        </w:rPr>
        <w:t xml:space="preserve">Bar-On, Y., &amp; Schechter, C. (2026). Agentic leadership during a war crisis: School principals displaced by war. </w:t>
      </w:r>
      <w:r>
        <w:rPr>
          <w:rFonts w:ascii="David" w:cs="David" w:eastAsia="David" w:hAnsi="David"/>
          <w:i/>
          <w:iCs/>
          <w:sz w:val="24"/>
          <w:szCs w:val="24"/>
        </w:rPr>
        <w:t xml:space="preserve">Education Sciences, 16</w:t>
      </w:r>
      <w:r>
        <w:rPr>
          <w:rFonts w:ascii="David" w:cs="David" w:eastAsia="David" w:hAnsi="David"/>
          <w:i w:val="false"/>
          <w:iCs w:val="false"/>
          <w:sz w:val="24"/>
          <w:szCs w:val="24"/>
        </w:rPr>
        <w:t xml:space="preserve">(1), Article 156. https://doi.org/10.3390/educsci16010156</w:t>
      </w:r>
    </w:p>
    <w:p>
      <w:pPr>
        <w:spacing w:after="0" w:line="360"/>
        <w:ind w:left="720" w:hanging="720"/>
        <w:jc w:val="left"/>
      </w:pPr>
      <w:r>
        <w:rPr>
          <w:rFonts w:ascii="David" w:cs="David" w:eastAsia="David" w:hAnsi="David"/>
          <w:i w:val="false"/>
          <w:iCs w:val="false"/>
          <w:sz w:val="24"/>
          <w:szCs w:val="24"/>
        </w:rPr>
        <w:t xml:space="preserve">Bass, B. M. (1985). </w:t>
      </w:r>
      <w:r>
        <w:rPr>
          <w:rFonts w:ascii="David" w:cs="David" w:eastAsia="David" w:hAnsi="David"/>
          <w:i/>
          <w:iCs/>
          <w:sz w:val="24"/>
          <w:szCs w:val="24"/>
        </w:rPr>
        <w:t xml:space="preserve">Leadership and performance beyond expectations</w:t>
      </w:r>
      <w:r>
        <w:rPr>
          <w:rFonts w:ascii="David" w:cs="David" w:eastAsia="David" w:hAnsi="David"/>
          <w:i w:val="false"/>
          <w:iCs w:val="false"/>
          <w:sz w:val="24"/>
          <w:szCs w:val="24"/>
        </w:rPr>
        <w:t xml:space="preserve">. Free Press.</w:t>
      </w:r>
    </w:p>
    <w:p>
      <w:pPr>
        <w:spacing w:after="0" w:line="360"/>
        <w:ind w:left="720" w:hanging="720"/>
        <w:jc w:val="left"/>
      </w:pPr>
      <w:r>
        <w:rPr>
          <w:rFonts w:ascii="David" w:cs="David" w:eastAsia="David" w:hAnsi="David"/>
          <w:i w:val="false"/>
          <w:iCs w:val="false"/>
          <w:sz w:val="24"/>
          <w:szCs w:val="24"/>
        </w:rPr>
        <w:t xml:space="preserve">Da'as, R., Qadach, M., &amp; Schechter, C. (2023). Crisis leadership: Principals' metaphors during COVID-19. </w:t>
      </w:r>
      <w:r>
        <w:rPr>
          <w:rFonts w:ascii="David" w:cs="David" w:eastAsia="David" w:hAnsi="David"/>
          <w:i/>
          <w:iCs/>
          <w:sz w:val="24"/>
          <w:szCs w:val="24"/>
        </w:rPr>
        <w:t xml:space="preserve">Educational Management Administration &amp; Leadership</w:t>
      </w:r>
      <w:r>
        <w:rPr>
          <w:rFonts w:ascii="David" w:cs="David" w:eastAsia="David" w:hAnsi="David"/>
          <w:i w:val="false"/>
          <w:iCs w:val="false"/>
          <w:sz w:val="24"/>
          <w:szCs w:val="24"/>
        </w:rPr>
        <w:t xml:space="preserve">. Advance online publication. https://doi.org/10.1177/17411432231170580</w:t>
      </w:r>
    </w:p>
    <w:p>
      <w:pPr>
        <w:spacing w:after="0" w:line="360"/>
        <w:ind w:left="720" w:hanging="720"/>
        <w:jc w:val="left"/>
      </w:pPr>
      <w:r>
        <w:rPr>
          <w:rFonts w:ascii="David" w:cs="David" w:eastAsia="David" w:hAnsi="David"/>
          <w:i w:val="false"/>
          <w:iCs w:val="false"/>
          <w:sz w:val="24"/>
          <w:szCs w:val="24"/>
        </w:rPr>
        <w:t xml:space="preserve">Harris, A., &amp; Jones, M. (2020). COVID 19 – school leadership in disruptive times. </w:t>
      </w:r>
      <w:r>
        <w:rPr>
          <w:rFonts w:ascii="David" w:cs="David" w:eastAsia="David" w:hAnsi="David"/>
          <w:i/>
          <w:iCs/>
          <w:sz w:val="24"/>
          <w:szCs w:val="24"/>
        </w:rPr>
        <w:t xml:space="preserve">School Leadership &amp; Management, 40</w:t>
      </w:r>
      <w:r>
        <w:rPr>
          <w:rFonts w:ascii="David" w:cs="David" w:eastAsia="David" w:hAnsi="David"/>
          <w:i w:val="false"/>
          <w:iCs w:val="false"/>
          <w:sz w:val="24"/>
          <w:szCs w:val="24"/>
        </w:rPr>
        <w:t xml:space="preserve">(4), 243-247. https://doi.org/10.1080/13632434.2020.1811479</w:t>
      </w:r>
    </w:p>
    <w:p>
      <w:pPr>
        <w:spacing w:after="0" w:line="360"/>
        <w:ind w:left="720" w:hanging="720"/>
        <w:jc w:val="left"/>
      </w:pPr>
      <w:r>
        <w:rPr>
          <w:rFonts w:ascii="David" w:cs="David" w:eastAsia="David" w:hAnsi="David"/>
          <w:i w:val="false"/>
          <w:iCs w:val="false"/>
          <w:sz w:val="24"/>
          <w:szCs w:val="24"/>
        </w:rPr>
        <w:t xml:space="preserve">Kotter, J. P. (1990). What leaders really do. </w:t>
      </w:r>
      <w:r>
        <w:rPr>
          <w:rFonts w:ascii="David" w:cs="David" w:eastAsia="David" w:hAnsi="David"/>
          <w:i/>
          <w:iCs/>
          <w:sz w:val="24"/>
          <w:szCs w:val="24"/>
        </w:rPr>
        <w:t xml:space="preserve">Harvard Business Review, 68</w:t>
      </w:r>
      <w:r>
        <w:rPr>
          <w:rFonts w:ascii="David" w:cs="David" w:eastAsia="David" w:hAnsi="David"/>
          <w:i w:val="false"/>
          <w:iCs w:val="false"/>
          <w:sz w:val="24"/>
          <w:szCs w:val="24"/>
        </w:rPr>
        <w:t xml:space="preserve">(3), 103-111.</w:t>
      </w:r>
    </w:p>
    <w:p>
      <w:pPr>
        <w:spacing w:after="0" w:line="360"/>
        <w:ind w:left="720" w:hanging="720"/>
        <w:jc w:val="left"/>
      </w:pPr>
      <w:r>
        <w:rPr>
          <w:rFonts w:ascii="David" w:cs="David" w:eastAsia="David" w:hAnsi="David"/>
          <w:i w:val="false"/>
          <w:iCs w:val="false"/>
          <w:sz w:val="24"/>
          <w:szCs w:val="24"/>
        </w:rPr>
        <w:t xml:space="preserve">Mutch, C. (2015). Leadership in times of crisis: Dispositional, relational and contextual factors influencing school principals' actions. </w:t>
      </w:r>
      <w:r>
        <w:rPr>
          <w:rFonts w:ascii="David" w:cs="David" w:eastAsia="David" w:hAnsi="David"/>
          <w:i/>
          <w:iCs/>
          <w:sz w:val="24"/>
          <w:szCs w:val="24"/>
        </w:rPr>
        <w:t xml:space="preserve">International Journal of Disaster Risk Reduction, 14</w:t>
      </w:r>
      <w:r>
        <w:rPr>
          <w:rFonts w:ascii="David" w:cs="David" w:eastAsia="David" w:hAnsi="David"/>
          <w:i w:val="false"/>
          <w:iCs w:val="false"/>
          <w:sz w:val="24"/>
          <w:szCs w:val="24"/>
        </w:rPr>
        <w:t xml:space="preserve">, 186-194. https://doi.org/10.1016/j.ijdrr.2015.06.005</w:t>
      </w:r>
    </w:p>
    <w:p>
      <w:pPr>
        <w:spacing w:after="0" w:line="360"/>
        <w:ind w:left="720" w:hanging="720"/>
        <w:jc w:val="left"/>
      </w:pPr>
      <w:r>
        <w:rPr>
          <w:rFonts w:ascii="David" w:cs="David" w:eastAsia="David" w:hAnsi="David"/>
          <w:i w:val="false"/>
          <w:iCs w:val="false"/>
          <w:sz w:val="24"/>
          <w:szCs w:val="24"/>
        </w:rPr>
        <w:t xml:space="preserve">Nissim, Y., &amp; Naifeld, E. (2025). Early childhood educators: Anchors amidst chaos. Agility and adaptive leadership in Israel's October 7th war. </w:t>
      </w:r>
      <w:r>
        <w:rPr>
          <w:rFonts w:ascii="David" w:cs="David" w:eastAsia="David" w:hAnsi="David"/>
          <w:i/>
          <w:iCs/>
          <w:sz w:val="24"/>
          <w:szCs w:val="24"/>
        </w:rPr>
        <w:t xml:space="preserve">Journal of Early Childhood Teacher Education, 46</w:t>
      </w:r>
      <w:r>
        <w:rPr>
          <w:rFonts w:ascii="David" w:cs="David" w:eastAsia="David" w:hAnsi="David"/>
          <w:i w:val="false"/>
          <w:iCs w:val="false"/>
          <w:sz w:val="24"/>
          <w:szCs w:val="24"/>
        </w:rPr>
        <w:t xml:space="preserve">(2), 323-344. https://doi.org/10.1080/10901027.2024.2436355</w:t>
      </w:r>
    </w:p>
    <w:p>
      <w:pPr>
        <w:spacing w:after="0" w:line="360"/>
        <w:ind w:left="720" w:hanging="720"/>
        <w:jc w:val="left"/>
      </w:pPr>
      <w:r>
        <w:rPr>
          <w:rFonts w:ascii="David" w:cs="David" w:eastAsia="David" w:hAnsi="David"/>
          <w:i w:val="false"/>
          <w:iCs w:val="false"/>
          <w:sz w:val="24"/>
          <w:szCs w:val="24"/>
        </w:rPr>
        <w:t xml:space="preserve">Smith, L., &amp; Riley, D. (2012). School leadership in times of crisis. </w:t>
      </w:r>
      <w:r>
        <w:rPr>
          <w:rFonts w:ascii="David" w:cs="David" w:eastAsia="David" w:hAnsi="David"/>
          <w:i/>
          <w:iCs/>
          <w:sz w:val="24"/>
          <w:szCs w:val="24"/>
        </w:rPr>
        <w:t xml:space="preserve">School Leadership &amp; Management, 32</w:t>
      </w:r>
      <w:r>
        <w:rPr>
          <w:rFonts w:ascii="David" w:cs="David" w:eastAsia="David" w:hAnsi="David"/>
          <w:i w:val="false"/>
          <w:iCs w:val="false"/>
          <w:sz w:val="24"/>
          <w:szCs w:val="24"/>
        </w:rPr>
        <w:t xml:space="preserve">(1), 57-71. https://doi.org/10.1080/13632434.2011.614941</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360"/>
      <w:jc w:val="right"/>
    </w:pPr>
    <w:r>
      <w:rPr>
        <w:rFonts w:ascii="David" w:cs="David" w:eastAsia="David" w:hAnsi="David"/>
        <w:b/>
        <w:bCs/>
        <w:sz w:val="24"/>
        <w:szCs w:val="24"/>
        <w:rtl/>
      </w:rPr>
      <w:t xml:space="preserve">סלסביל אבו קוידר, ת"ז 215075086</w:t>
    </w:r>
  </w:p>
  <w:p>
    <w:pPr>
      <w:bidi/>
      <w:spacing w:after="0" w:line="36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36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36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2026-09-08T18:03:12.350Z</dcterms:created>
  <dcterms:modified xsi:type="dcterms:W3CDTF">2026-09-08T18:03:12.365Z</dcterms:modified>
</cp:coreProperties>
</file>

<file path=docProps/custom.xml><?xml version="1.0" encoding="utf-8"?>
<Properties xmlns="http://schemas.openxmlformats.org/officeDocument/2006/custom-properties" xmlns:vt="http://schemas.openxmlformats.org/officeDocument/2006/docPropsVTypes"/>
</file>