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noProof/>
          <w:sz w:val="30"/>
          <w:szCs w:val="30"/>
          <w:rtl/>
          <w:lang w:bidi="he-IL"/>
        </w:rPr>
        <w:t xml:space="preserve">הפקולטה למשפטים</w:t>
      </w:r>
    </w:p>
    <w:p>
      <w:pPr>
        <w:bidi/>
        <w:spacing w:after="120"/>
        <w:jc w:val="center"/>
      </w:pPr>
      <w:r>
        <w:rPr>
          <w:rFonts w:ascii="David" w:cs="David" w:eastAsia="David" w:hAnsi="David"/>
          <w:noProof/>
          <w:sz w:val="26"/>
          <w:szCs w:val="26"/>
          <w:rtl/>
          <w:lang w:bidi="he-IL"/>
        </w:rPr>
        <w:t xml:space="preserve">תואר שני במשפטים (</w:t>
      </w:r>
      <w:r>
        <w:rPr>
          <w:rFonts w:ascii="David" w:cs="David" w:eastAsia="David" w:hAnsi="David"/>
          <w:noProof/>
          <w:sz w:val="26"/>
          <w:szCs w:val="26"/>
          <w:rtl w:val="false"/>
          <w:lang w:val="en-US" w:bidi="he-IL"/>
        </w:rPr>
        <w:t xml:space="preserve">LL.M.‎</w:t>
      </w:r>
      <w:r>
        <w:rPr>
          <w:rFonts w:ascii="David" w:cs="David" w:eastAsia="David" w:hAnsi="David"/>
          <w:noProof/>
          <w:sz w:val="26"/>
          <w:szCs w:val="26"/>
          <w:rtl/>
          <w:lang w:bidi="he-IL"/>
        </w:rPr>
        <w:t xml:space="preserve">)</w:t>
      </w:r>
    </w:p>
    <w:p>
      <w:pPr>
        <w:bidi/>
        <w:spacing w:after="1800"/>
        <w:jc w:val="center"/>
      </w:pPr>
      <w:r>
        <w:rPr>
          <w:rFonts w:ascii="David" w:cs="David" w:eastAsia="David" w:hAnsi="David"/>
          <w:noProof/>
          <w:sz w:val="26"/>
          <w:szCs w:val="26"/>
          <w:rtl/>
          <w:lang w:bidi="he-IL"/>
        </w:rPr>
        <w:t xml:space="preserve">סמינר מתקדם במשפט הפלילי</w:t>
      </w:r>
    </w:p>
    <w:p>
      <w:pPr>
        <w:bidi/>
        <w:spacing w:after="60"/>
        <w:jc w:val="center"/>
      </w:pPr>
      <w:r>
        <w:rPr>
          <w:rFonts w:ascii="David" w:cs="David" w:eastAsia="David" w:hAnsi="David"/>
          <w:b/>
          <w:bCs/>
          <w:noProof/>
          <w:sz w:val="38"/>
          <w:szCs w:val="38"/>
          <w:rtl/>
          <w:lang w:bidi="he-IL"/>
        </w:rPr>
        <w:t xml:space="preserve">רפורמת אמו"ן במשטרת ישראל:</w:t>
      </w:r>
    </w:p>
    <w:p>
      <w:pPr>
        <w:bidi/>
        <w:spacing w:after="240"/>
        <w:jc w:val="center"/>
      </w:pPr>
      <w:r>
        <w:rPr>
          <w:rFonts w:ascii="David" w:cs="David" w:eastAsia="David" w:hAnsi="David"/>
          <w:b/>
          <w:bCs/>
          <w:noProof/>
          <w:sz w:val="38"/>
          <w:szCs w:val="38"/>
          <w:rtl/>
          <w:lang w:bidi="he-IL"/>
        </w:rPr>
        <w:t xml:space="preserve">בין אפקטיביות עקרונית ליישום בפועל</w:t>
      </w:r>
    </w:p>
    <w:p>
      <w:pPr>
        <w:bidi/>
        <w:spacing w:after="2000"/>
        <w:jc w:val="center"/>
      </w:pPr>
      <w:r>
        <w:rPr>
          <w:rFonts w:ascii="David" w:cs="David" w:eastAsia="David" w:hAnsi="David"/>
          <w:noProof/>
          <w:sz w:val="28"/>
          <w:szCs w:val="28"/>
          <w:rtl/>
          <w:lang w:bidi="he-IL"/>
        </w:rPr>
        <w:t xml:space="preserve">הפחתת עבריינות, אכיפה ולגיטימציה בקרב צעירים ערבים בני 18 עד 24</w:t>
      </w:r>
    </w:p>
    <w:p>
      <w:pPr>
        <w:bidi/>
        <w:spacing w:after="120"/>
        <w:jc w:val="center"/>
      </w:pPr>
      <w:r>
        <w:rPr>
          <w:rFonts w:ascii="David" w:cs="David" w:eastAsia="David" w:hAnsi="David"/>
          <w:noProof/>
          <w:sz w:val="26"/>
          <w:szCs w:val="26"/>
          <w:rtl/>
          <w:lang w:bidi="he-IL"/>
        </w:rPr>
        <w:t xml:space="preserve">מוגש ל: פרופ' יואב ספיר</w:t>
      </w:r>
    </w:p>
    <w:p>
      <w:pPr>
        <w:bidi/>
        <w:spacing w:after="120"/>
        <w:jc w:val="center"/>
      </w:pPr>
      <w:r>
        <w:rPr>
          <w:rFonts w:ascii="David" w:cs="David" w:eastAsia="David" w:hAnsi="David"/>
          <w:noProof/>
          <w:sz w:val="26"/>
          <w:szCs w:val="26"/>
          <w:rtl/>
          <w:lang w:bidi="he-IL"/>
        </w:rPr>
        <w:t xml:space="preserve">מגיש: יזיד גריפאת</w:t>
      </w:r>
    </w:p>
    <w:p>
      <w:pPr>
        <w:bidi/>
        <w:spacing w:after="120"/>
        <w:jc w:val="center"/>
      </w:pPr>
      <w:r>
        <w:rPr>
          <w:rFonts w:ascii="David" w:cs="David" w:eastAsia="David" w:hAnsi="David"/>
          <w:noProof/>
          <w:sz w:val="26"/>
          <w:szCs w:val="26"/>
          <w:rtl/>
          <w:lang w:bidi="he-IL"/>
        </w:rPr>
        <w:t xml:space="preserve">תאריך הגשה: תשרי התשפ"ז, ספטמבר 2026</w:t>
      </w:r>
    </w:p>
    <w:p>
      <w:r>
        <w:br w:type="page"/>
      </w:r>
    </w:p>
    <w:p>
      <w:pPr>
        <w:bidi/>
        <w:spacing w:after="240"/>
        <w:jc w:val="center"/>
      </w:pPr>
      <w:r>
        <w:rPr>
          <w:rFonts w:ascii="David" w:cs="David" w:eastAsia="David" w:hAnsi="David"/>
          <w:b/>
          <w:bCs/>
          <w:noProof/>
          <w:sz w:val="32"/>
          <w:szCs w:val="32"/>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noProof/>
          <w:sz w:val="32"/>
          <w:szCs w:val="32"/>
          <w:rtl/>
          <w:lang w:bidi="he-IL"/>
        </w:rPr>
        <w:t xml:space="preserve">1. מבוא</w:t>
      </w:r>
    </w:p>
    <w:p>
      <w:pPr>
        <w:bidi/>
        <w:spacing w:after="120" w:line="360"/>
        <w:ind w:firstLine="0"/>
        <w:jc w:val="both"/>
      </w:pPr>
      <w:r>
        <w:rPr>
          <w:rFonts w:ascii="David" w:cs="David" w:eastAsia="David" w:hAnsi="David"/>
          <w:noProof/>
          <w:sz w:val="24"/>
          <w:szCs w:val="24"/>
          <w:rtl/>
          <w:lang w:bidi="he-I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noProof/>
          <w:sz w:val="24"/>
          <w:szCs w:val="24"/>
          <w:rtl/>
          <w:lang w:bidi="he-I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noProof/>
          <w:sz w:val="24"/>
          <w:szCs w:val="24"/>
          <w:rtl/>
          <w:lang w:bidi="he-I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noProof/>
          <w:sz w:val="24"/>
          <w:szCs w:val="24"/>
          <w:rtl/>
          <w:lang w:bidi="he-I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noProof/>
          <w:sz w:val="24"/>
          <w:szCs w:val="24"/>
          <w:rtl/>
          <w:lang w:bidi="he-IL"/>
        </w:rPr>
        <w:t xml:space="preserve"> ספיר מזהיר כי התמקדות בסמכויות חיפוש חדשות, בכוחות שיטור מיוחדים, בהחמרת הענישה ובעונשי מינימום, בלי פתרונות עומק לבעיות החברה הערבית ובלי חיזוק המערכים הטיפוליים והשיקומיים, עלולה להביא לתוצאות לא צודקות ולהחטיא את מטרת הפחתת הפשיעה, ואף להחריף את חוסר האמון במערכות אכיפת החוק.</w:t>
      </w:r>
      <w:r>
        <w:rPr>
          <w:rStyle w:val="FootnoteReference"/>
        </w:rPr>
        <w:footnoteReference w:id="4"/>
      </w:r>
      <w:r>
        <w:rPr>
          <w:rFonts w:ascii="David" w:cs="David" w:eastAsia="David" w:hAnsi="David"/>
          <w:noProof/>
          <w:sz w:val="24"/>
          <w:szCs w:val="24"/>
          <w:rtl/>
          <w:lang w:bidi="he-I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noProof/>
          <w:sz w:val="24"/>
          <w:szCs w:val="24"/>
          <w:rtl/>
          <w:lang w:bidi="he-I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noProof/>
          <w:sz w:val="24"/>
          <w:szCs w:val="24"/>
          <w:rtl/>
          <w:lang w:bidi="he-I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noProof/>
          <w:sz w:val="24"/>
          <w:szCs w:val="24"/>
          <w:rtl/>
          <w:lang w:bidi="he-IL"/>
        </w:rPr>
        <w:t xml:space="preserve"> לכן אמו"ן היא מקרה מבחן חשוב.</w:t>
      </w:r>
    </w:p>
    <w:p>
      <w:pPr>
        <w:bidi/>
        <w:spacing w:after="120" w:line="360"/>
        <w:ind w:firstLine="0"/>
        <w:jc w:val="both"/>
      </w:pPr>
      <w:r>
        <w:rPr>
          <w:rFonts w:ascii="David" w:cs="David" w:eastAsia="David" w:hAnsi="David"/>
          <w:noProof/>
          <w:sz w:val="24"/>
          <w:szCs w:val="24"/>
          <w:rtl/>
          <w:lang w:bidi="he-I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noProof/>
          <w:sz w:val="24"/>
          <w:szCs w:val="24"/>
          <w:rtl/>
          <w:lang w:bidi="he-I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noProof/>
          <w:sz w:val="24"/>
          <w:szCs w:val="24"/>
          <w:rtl/>
          <w:lang w:bidi="he-I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noProof/>
          <w:sz w:val="24"/>
          <w:szCs w:val="24"/>
          <w:rtl/>
          <w:lang w:bidi="he-I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noProof/>
          <w:sz w:val="24"/>
          <w:szCs w:val="24"/>
          <w:rtl/>
          <w:lang w:bidi="he-I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noProof/>
          <w:sz w:val="32"/>
          <w:szCs w:val="32"/>
          <w:rtl/>
          <w:lang w:bidi="he-IL"/>
        </w:rPr>
        <w:t xml:space="preserve">2. אפקטיביות בשיטור: מסגרת מושגית ומשפטית</w:t>
      </w:r>
    </w:p>
    <w:p>
      <w:pPr>
        <w:pStyle w:val="Heading2"/>
        <w:bidi/>
        <w:spacing w:after="160" w:before="240"/>
        <w:jc w:val="right"/>
      </w:pPr>
      <w:r>
        <w:rPr>
          <w:rFonts w:ascii="David" w:cs="David" w:eastAsia="David" w:hAnsi="David"/>
          <w:b/>
          <w:bCs/>
          <w:noProof/>
          <w:sz w:val="28"/>
          <w:szCs w:val="28"/>
          <w:rtl/>
          <w:lang w:bidi="he-IL"/>
        </w:rPr>
        <w:t xml:space="preserve">2.1 ארבעה ממדים של אפקטיביות</w:t>
      </w:r>
    </w:p>
    <w:p>
      <w:pPr>
        <w:bidi/>
        <w:spacing w:after="120" w:line="360"/>
        <w:ind w:firstLine="0"/>
        <w:jc w:val="both"/>
      </w:pPr>
      <w:r>
        <w:rPr>
          <w:rFonts w:ascii="David" w:cs="David" w:eastAsia="David" w:hAnsi="David"/>
          <w:noProof/>
          <w:sz w:val="24"/>
          <w:szCs w:val="24"/>
          <w:rtl/>
          <w:lang w:bidi="he-I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noProof/>
          <w:sz w:val="24"/>
          <w:szCs w:val="24"/>
          <w:rtl/>
          <w:lang w:bidi="he-I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noProof/>
          <w:sz w:val="24"/>
          <w:szCs w:val="24"/>
          <w:rtl/>
          <w:lang w:bidi="he-I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noProof/>
          <w:sz w:val="24"/>
          <w:szCs w:val="24"/>
          <w:rtl/>
          <w:lang w:bidi="he-I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סויסא</w:t>
      </w:r>
      <w:r>
        <w:rPr>
          <w:rFonts w:ascii="David" w:cs="David" w:eastAsia="David" w:hAnsi="David"/>
          <w:noProof/>
          <w:sz w:val="24"/>
          <w:szCs w:val="24"/>
          <w:rtl/>
          <w:lang w:bidi="he-I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אלחננוב</w:t>
      </w:r>
      <w:r>
        <w:rPr>
          <w:rFonts w:ascii="David" w:cs="David" w:eastAsia="David" w:hAnsi="David"/>
          <w:noProof/>
          <w:sz w:val="24"/>
          <w:szCs w:val="24"/>
          <w:rtl/>
          <w:lang w:bidi="he-I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noProof/>
          <w:sz w:val="24"/>
          <w:szCs w:val="24"/>
          <w:rtl/>
          <w:lang w:bidi="he-IL"/>
        </w:rPr>
        <w:t xml:space="preserve"> הממד הרביעי הוא שוויון, ובעניין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noProof/>
          <w:sz w:val="24"/>
          <w:szCs w:val="24"/>
          <w:rtl/>
          <w:lang w:bidi="he-I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noProof/>
          <w:sz w:val="24"/>
          <w:szCs w:val="24"/>
          <w:rtl/>
          <w:lang w:bidi="he-I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noProof/>
          <w:sz w:val="24"/>
          <w:szCs w:val="24"/>
          <w:rtl/>
          <w:lang w:bidi="he-I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noProof/>
          <w:sz w:val="24"/>
          <w:szCs w:val="24"/>
          <w:rtl/>
          <w:lang w:bidi="he-I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noProof/>
          <w:sz w:val="24"/>
          <w:szCs w:val="24"/>
          <w:rtl/>
          <w:lang w:bidi="he-I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noProof/>
          <w:sz w:val="24"/>
          <w:szCs w:val="24"/>
          <w:rtl/>
          <w:lang w:bidi="he-I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noProof/>
          <w:sz w:val="24"/>
          <w:szCs w:val="24"/>
          <w:rtl/>
          <w:lang w:bidi="he-I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noProof/>
          <w:sz w:val="28"/>
          <w:szCs w:val="28"/>
          <w:rtl/>
          <w:lang w:bidi="he-IL"/>
        </w:rPr>
        <w:t xml:space="preserve">2.2 שיטור מוכוון בעיות ומשפחת השיטור היזום</w:t>
      </w:r>
    </w:p>
    <w:p>
      <w:pPr>
        <w:bidi/>
        <w:spacing w:after="120" w:line="360"/>
        <w:ind w:firstLine="0"/>
        <w:jc w:val="both"/>
      </w:pPr>
      <w:r>
        <w:rPr>
          <w:rFonts w:ascii="David" w:cs="David" w:eastAsia="David" w:hAnsi="David"/>
          <w:noProof/>
          <w:sz w:val="24"/>
          <w:szCs w:val="24"/>
          <w:rtl/>
          <w:lang w:bidi="he-I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noProof/>
          <w:sz w:val="24"/>
          <w:szCs w:val="24"/>
          <w:rtl/>
          <w:lang w:bidi="he-I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noProof/>
          <w:sz w:val="24"/>
          <w:szCs w:val="24"/>
          <w:rtl/>
          <w:lang w:bidi="he-IL"/>
        </w:rPr>
        <w:t xml:space="preserve"> אק וספלמן תרגמו זאת לארבעה שלבים: סריקה, ניתוח, תגובה והערכה (</w:t>
      </w:r>
      <w:r>
        <w:rPr>
          <w:rFonts w:ascii="David" w:cs="David" w:eastAsia="David" w:hAnsi="David"/>
          <w:noProof/>
          <w:sz w:val="24"/>
          <w:szCs w:val="24"/>
          <w:rtl w:val="false"/>
          <w:lang w:val="en-US" w:bidi="he-IL"/>
        </w:rPr>
        <w:t xml:space="preserve">SARA).‎</w:t>
      </w:r>
      <w:r>
        <w:rPr>
          <w:rStyle w:val="FootnoteReference"/>
        </w:rPr>
        <w:footnoteReference w:id="23"/>
      </w:r>
      <w:r>
        <w:rPr>
          <w:rFonts w:ascii="David" w:cs="David" w:eastAsia="David" w:hAnsi="David"/>
          <w:noProof/>
          <w:sz w:val="24"/>
          <w:szCs w:val="24"/>
          <w:rtl/>
          <w:lang w:bidi="he-I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noProof/>
          <w:sz w:val="24"/>
          <w:szCs w:val="24"/>
          <w:rtl/>
          <w:lang w:bidi="he-I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noProof/>
          <w:sz w:val="24"/>
          <w:szCs w:val="24"/>
          <w:rtl/>
          <w:lang w:bidi="he-IL"/>
        </w:rPr>
        <w:t xml:space="preserve"> שיטור נקודות חמות נמצא מפחית פשיעה באזורי היעד.</w:t>
      </w:r>
      <w:r>
        <w:rPr>
          <w:rStyle w:val="FootnoteReference"/>
        </w:rPr>
        <w:footnoteReference w:id="26"/>
      </w:r>
      <w:r>
        <w:rPr>
          <w:rFonts w:ascii="David" w:cs="David" w:eastAsia="David" w:hAnsi="David"/>
          <w:noProof/>
          <w:sz w:val="24"/>
          <w:szCs w:val="24"/>
          <w:rtl/>
          <w:lang w:bidi="he-I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noProof/>
          <w:sz w:val="24"/>
          <w:szCs w:val="24"/>
          <w:rtl/>
          <w:lang w:bidi="he-I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noProof/>
          <w:sz w:val="24"/>
          <w:szCs w:val="24"/>
          <w:rtl/>
          <w:lang w:bidi="he-I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noProof/>
          <w:sz w:val="24"/>
          <w:szCs w:val="24"/>
          <w:rtl/>
          <w:lang w:bidi="he-I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noProof/>
          <w:sz w:val="24"/>
          <w:szCs w:val="24"/>
          <w:rtl/>
          <w:lang w:bidi="he-I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noProof/>
          <w:sz w:val="24"/>
          <w:szCs w:val="24"/>
          <w:rtl/>
          <w:lang w:bidi="he-IL"/>
        </w:rPr>
        <w:t xml:space="preserve"> ולכן הסיכון נקבע לפי הפעולות שבתוכנית, ולא לפי שמה.</w:t>
      </w:r>
    </w:p>
    <w:p>
      <w:pPr>
        <w:bidi/>
        <w:spacing w:after="120" w:line="360"/>
        <w:ind w:firstLine="0"/>
        <w:jc w:val="both"/>
      </w:pPr>
      <w:r>
        <w:rPr>
          <w:rFonts w:ascii="David" w:cs="David" w:eastAsia="David" w:hAnsi="David"/>
          <w:noProof/>
          <w:sz w:val="24"/>
          <w:szCs w:val="24"/>
          <w:rtl/>
          <w:lang w:bidi="he-I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noProof/>
          <w:sz w:val="24"/>
          <w:szCs w:val="24"/>
          <w:rtl/>
          <w:lang w:bidi="he-I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noProof/>
          <w:sz w:val="28"/>
          <w:szCs w:val="28"/>
          <w:rtl/>
          <w:lang w:bidi="he-IL"/>
        </w:rPr>
        <w:t xml:space="preserve">2.3 שיטור יתר, שיטור חסר והוגנות ההליכים</w:t>
      </w:r>
    </w:p>
    <w:p>
      <w:pPr>
        <w:bidi/>
        <w:spacing w:after="120" w:line="360"/>
        <w:ind w:firstLine="0"/>
        <w:jc w:val="both"/>
      </w:pPr>
      <w:r>
        <w:rPr>
          <w:rFonts w:ascii="David" w:cs="David" w:eastAsia="David" w:hAnsi="David"/>
          <w:noProof/>
          <w:sz w:val="24"/>
          <w:szCs w:val="24"/>
          <w:rtl/>
          <w:lang w:bidi="he-I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noProof/>
          <w:sz w:val="24"/>
          <w:szCs w:val="24"/>
          <w:rtl/>
          <w:lang w:bidi="he-I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noProof/>
          <w:sz w:val="24"/>
          <w:szCs w:val="24"/>
          <w:rtl/>
          <w:lang w:bidi="he-I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noProof/>
          <w:sz w:val="24"/>
          <w:szCs w:val="24"/>
          <w:rtl/>
          <w:lang w:bidi="he-I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noProof/>
          <w:sz w:val="24"/>
          <w:szCs w:val="24"/>
          <w:rtl/>
          <w:lang w:bidi="he-I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noProof/>
          <w:sz w:val="24"/>
          <w:szCs w:val="24"/>
          <w:rtl/>
          <w:lang w:bidi="he-I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noProof/>
          <w:sz w:val="24"/>
          <w:szCs w:val="24"/>
          <w:rtl/>
          <w:lang w:bidi="he-I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noProof/>
          <w:sz w:val="24"/>
          <w:szCs w:val="24"/>
          <w:rtl/>
          <w:lang w:bidi="he-I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noProof/>
          <w:sz w:val="24"/>
          <w:szCs w:val="24"/>
          <w:rtl/>
          <w:lang w:bidi="he-I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noProof/>
          <w:sz w:val="24"/>
          <w:szCs w:val="24"/>
          <w:rtl/>
          <w:lang w:bidi="he-IL"/>
        </w:rPr>
        <w:t xml:space="preserve"> סקוגן מצא שמפגש שלילי משפיע על העמדות הרבה יותר ממפגש חיובי,</w:t>
      </w:r>
      <w:r>
        <w:rPr>
          <w:rStyle w:val="FootnoteReference"/>
        </w:rPr>
        <w:footnoteReference w:id="40"/>
      </w:r>
      <w:r>
        <w:rPr>
          <w:rFonts w:ascii="David" w:cs="David" w:eastAsia="David" w:hAnsi="David"/>
          <w:noProof/>
          <w:sz w:val="24"/>
          <w:szCs w:val="24"/>
          <w:rtl/>
          <w:lang w:bidi="he-I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noProof/>
          <w:sz w:val="24"/>
          <w:szCs w:val="24"/>
          <w:rtl/>
          <w:lang w:bidi="he-I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noProof/>
          <w:sz w:val="28"/>
          <w:szCs w:val="28"/>
          <w:rtl/>
          <w:lang w:bidi="he-IL"/>
        </w:rPr>
        <w:t xml:space="preserve">2.4 סמכות, שיקול דעת, שוויון ומידתיות באכיפה</w:t>
      </w:r>
    </w:p>
    <w:p>
      <w:pPr>
        <w:bidi/>
        <w:spacing w:after="120" w:line="360"/>
        <w:ind w:firstLine="0"/>
        <w:jc w:val="both"/>
      </w:pPr>
      <w:r>
        <w:rPr>
          <w:rFonts w:ascii="David" w:cs="David" w:eastAsia="David" w:hAnsi="David"/>
          <w:noProof/>
          <w:sz w:val="24"/>
          <w:szCs w:val="24"/>
          <w:rtl/>
          <w:lang w:bidi="he-IL"/>
        </w:rPr>
        <w:t xml:space="preserve">בעניין </w:t>
      </w:r>
      <w:r>
        <w:rPr>
          <w:rFonts w:ascii="David" w:cs="David" w:eastAsia="David" w:hAnsi="David"/>
          <w:b/>
          <w:bCs/>
          <w:noProof/>
          <w:sz w:val="24"/>
          <w:szCs w:val="24"/>
          <w:rtl/>
          <w:lang w:bidi="he-IL"/>
        </w:rPr>
        <w:t xml:space="preserve">מוסא</w:t>
      </w:r>
      <w:r>
        <w:rPr>
          <w:rFonts w:ascii="David" w:cs="David" w:eastAsia="David" w:hAnsi="David"/>
          <w:noProof/>
          <w:sz w:val="24"/>
          <w:szCs w:val="24"/>
          <w:rtl/>
          <w:lang w:bidi="he-IL"/>
        </w:rPr>
        <w:t xml:space="preserve"> נקבע ש"אין למשטרה כוחות, אלא עד כמה שאלה הוענקו לה בחוק".</w:t>
      </w:r>
      <w:r>
        <w:rPr>
          <w:rStyle w:val="FootnoteReference"/>
        </w:rPr>
        <w:footnoteReference w:id="42"/>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המרכז האקדמי</w:t>
      </w:r>
      <w:r>
        <w:rPr>
          <w:rFonts w:ascii="David" w:cs="David" w:eastAsia="David" w:hAnsi="David"/>
          <w:noProof/>
          <w:sz w:val="24"/>
          <w:szCs w:val="24"/>
          <w:rtl/>
          <w:lang w:bidi="he-I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noProof/>
          <w:sz w:val="24"/>
          <w:szCs w:val="24"/>
          <w:rtl/>
          <w:lang w:bidi="he-I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noProof/>
          <w:sz w:val="24"/>
          <w:szCs w:val="24"/>
          <w:rtl/>
          <w:lang w:bidi="he-IL"/>
        </w:rPr>
        <w:t xml:space="preserve">פקודת המשטרה מגדירה את תפקידי המשטרה,</w:t>
      </w:r>
      <w:r>
        <w:rPr>
          <w:rStyle w:val="FootnoteReference"/>
        </w:rPr>
        <w:footnoteReference w:id="46"/>
      </w:r>
      <w:r>
        <w:rPr>
          <w:rFonts w:ascii="David" w:cs="David" w:eastAsia="David" w:hAnsi="David"/>
          <w:noProof/>
          <w:sz w:val="24"/>
          <w:szCs w:val="24"/>
          <w:rtl/>
          <w:lang w:bidi="he-IL"/>
        </w:rPr>
        <w:t xml:space="preserve"> תפקידה כולל גם הגנה על זכויות יסוד, ולא רק שמירה על הסדר.</w:t>
      </w:r>
      <w:r>
        <w:rPr>
          <w:rStyle w:val="FootnoteReference"/>
        </w:rPr>
        <w:footnoteReference w:id="47"/>
      </w:r>
      <w:r>
        <w:rPr>
          <w:rFonts w:ascii="David" w:cs="David" w:eastAsia="David" w:hAnsi="David"/>
          <w:noProof/>
          <w:sz w:val="24"/>
          <w:szCs w:val="24"/>
          <w:rtl/>
          <w:lang w:bidi="he-I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noProof/>
          <w:sz w:val="24"/>
          <w:szCs w:val="24"/>
          <w:rtl/>
          <w:lang w:bidi="he-I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noProof/>
          <w:sz w:val="24"/>
          <w:szCs w:val="24"/>
          <w:rtl/>
          <w:lang w:bidi="he-I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noProof/>
          <w:sz w:val="24"/>
          <w:szCs w:val="24"/>
          <w:rtl/>
          <w:lang w:bidi="he-I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noProof/>
          <w:sz w:val="24"/>
          <w:szCs w:val="24"/>
          <w:rtl/>
          <w:lang w:bidi="he-IL"/>
        </w:rPr>
        <w:t xml:space="preserve">חשד סביר נבחן במבחן אובייקטיבי, לפי נסיבות המפגש.</w:t>
      </w:r>
      <w:r>
        <w:rPr>
          <w:rStyle w:val="FootnoteReference"/>
        </w:rPr>
        <w:footnoteReference w:id="52"/>
      </w:r>
      <w:r>
        <w:rPr>
          <w:rFonts w:ascii="David" w:cs="David" w:eastAsia="David" w:hAnsi="David"/>
          <w:noProof/>
          <w:sz w:val="24"/>
          <w:szCs w:val="24"/>
          <w:rtl/>
          <w:lang w:bidi="he-IL"/>
        </w:rPr>
        <w:t xml:space="preserve"> תיאור חיצוני כללי אינו מקים סמכות עיכוב,</w:t>
      </w:r>
      <w:r>
        <w:rPr>
          <w:rStyle w:val="FootnoteReference"/>
        </w:rPr>
        <w:footnoteReference w:id="53"/>
      </w:r>
      <w:r>
        <w:rPr>
          <w:rFonts w:ascii="David" w:cs="David" w:eastAsia="David" w:hAnsi="David"/>
          <w:noProof/>
          <w:sz w:val="24"/>
          <w:szCs w:val="24"/>
          <w:rtl/>
          <w:lang w:bidi="he-I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noProof/>
          <w:sz w:val="24"/>
          <w:szCs w:val="24"/>
          <w:rtl/>
          <w:lang w:bidi="he-I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noProof/>
          <w:sz w:val="24"/>
          <w:szCs w:val="24"/>
          <w:rtl/>
          <w:lang w:bidi="he-IL"/>
        </w:rPr>
        <w:t xml:space="preserve"> נקודת תורפה נוספת היא ההסכמה. בעניין </w:t>
      </w:r>
      <w:r>
        <w:rPr>
          <w:rFonts w:ascii="David" w:cs="David" w:eastAsia="David" w:hAnsi="David"/>
          <w:b/>
          <w:bCs/>
          <w:noProof/>
          <w:sz w:val="24"/>
          <w:szCs w:val="24"/>
          <w:rtl/>
          <w:lang w:bidi="he-IL"/>
        </w:rPr>
        <w:t xml:space="preserve">בן חיים</w:t>
      </w:r>
      <w:r>
        <w:rPr>
          <w:rFonts w:ascii="David" w:cs="David" w:eastAsia="David" w:hAnsi="David"/>
          <w:noProof/>
          <w:sz w:val="24"/>
          <w:szCs w:val="24"/>
          <w:rtl/>
          <w:lang w:bidi="he-I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noProof/>
          <w:sz w:val="24"/>
          <w:szCs w:val="24"/>
          <w:rtl/>
          <w:lang w:bidi="he-I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noProof/>
          <w:sz w:val="24"/>
          <w:szCs w:val="24"/>
          <w:rtl/>
          <w:lang w:bidi="he-I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noProof/>
          <w:sz w:val="24"/>
          <w:szCs w:val="24"/>
          <w:rtl/>
          <w:lang w:bidi="he-IL"/>
        </w:rPr>
        <w:t xml:space="preserve"> בדיון הנוסף 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noProof/>
          <w:sz w:val="24"/>
          <w:szCs w:val="24"/>
          <w:rtl/>
          <w:lang w:bidi="he-I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noProof/>
          <w:sz w:val="24"/>
          <w:szCs w:val="24"/>
          <w:rtl/>
          <w:lang w:bidi="he-I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בורוביץ</w:t>
      </w:r>
      <w:r>
        <w:rPr>
          <w:rFonts w:ascii="David" w:cs="David" w:eastAsia="David" w:hAnsi="David"/>
          <w:noProof/>
          <w:sz w:val="24"/>
          <w:szCs w:val="24"/>
          <w:rtl/>
          <w:lang w:bidi="he-IL"/>
        </w:rPr>
        <w:t xml:space="preserve"> הוסבר שאכיפה בררנית פוגעת בשוויון בפני החוק ובתחושת הצדק,</w:t>
      </w:r>
      <w:r>
        <w:rPr>
          <w:rStyle w:val="FootnoteReference"/>
        </w:rPr>
        <w:footnoteReference w:id="62"/>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פרץ</w:t>
      </w:r>
      <w:r>
        <w:rPr>
          <w:rFonts w:ascii="David" w:cs="David" w:eastAsia="David" w:hAnsi="David"/>
          <w:noProof/>
          <w:sz w:val="24"/>
          <w:szCs w:val="24"/>
          <w:rtl/>
          <w:lang w:bidi="he-I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noProof/>
          <w:sz w:val="24"/>
          <w:szCs w:val="24"/>
          <w:rtl/>
          <w:lang w:bidi="he-I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noProof/>
          <w:sz w:val="24"/>
          <w:szCs w:val="24"/>
          <w:rtl/>
          <w:lang w:bidi="he-I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noProof/>
          <w:sz w:val="24"/>
          <w:szCs w:val="24"/>
          <w:rtl/>
          <w:lang w:bidi="he-I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noProof/>
          <w:sz w:val="24"/>
          <w:szCs w:val="24"/>
          <w:rtl/>
          <w:lang w:bidi="he-I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noProof/>
          <w:sz w:val="32"/>
          <w:szCs w:val="32"/>
          <w:rtl/>
          <w:lang w:bidi="he-IL"/>
        </w:rPr>
        <w:t xml:space="preserve">3. רפורמת אמו"ן: הרציונל, המבנה ומנגנוני הפעולה</w:t>
      </w:r>
    </w:p>
    <w:p>
      <w:pPr>
        <w:pStyle w:val="Heading2"/>
        <w:bidi/>
        <w:spacing w:after="160" w:before="240"/>
        <w:jc w:val="right"/>
      </w:pPr>
      <w:r>
        <w:rPr>
          <w:rFonts w:ascii="David" w:cs="David" w:eastAsia="David" w:hAnsi="David"/>
          <w:b/>
          <w:bCs/>
          <w:noProof/>
          <w:sz w:val="28"/>
          <w:szCs w:val="28"/>
          <w:rtl/>
          <w:lang w:bidi="he-IL"/>
        </w:rPr>
        <w:t xml:space="preserve">3.1 הרקע להקמת הרפורמה ומטרותיה</w:t>
      </w:r>
    </w:p>
    <w:p>
      <w:pPr>
        <w:bidi/>
        <w:spacing w:after="120" w:line="360"/>
        <w:ind w:firstLine="0"/>
        <w:jc w:val="both"/>
      </w:pPr>
      <w:r>
        <w:rPr>
          <w:rFonts w:ascii="David" w:cs="David" w:eastAsia="David" w:hAnsi="David"/>
          <w:noProof/>
          <w:sz w:val="24"/>
          <w:szCs w:val="24"/>
          <w:rtl/>
          <w:lang w:bidi="he-I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noProof/>
          <w:sz w:val="24"/>
          <w:szCs w:val="24"/>
          <w:rtl/>
          <w:lang w:bidi="he-I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noProof/>
          <w:sz w:val="24"/>
          <w:szCs w:val="24"/>
          <w:rtl/>
          <w:lang w:bidi="he-I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noProof/>
          <w:sz w:val="24"/>
          <w:szCs w:val="24"/>
          <w:rtl/>
          <w:lang w:bidi="he-I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noProof/>
          <w:sz w:val="24"/>
          <w:szCs w:val="24"/>
          <w:rtl/>
          <w:lang w:bidi="he-I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noProof/>
          <w:sz w:val="24"/>
          <w:szCs w:val="24"/>
          <w:rtl/>
          <w:lang w:bidi="he-IL"/>
        </w:rPr>
        <w:t xml:space="preserve"> ייחודה בניסיון למסד אותן בכל הארגון,</w:t>
      </w:r>
      <w:r>
        <w:rPr>
          <w:rStyle w:val="FootnoteReference"/>
        </w:rPr>
        <w:footnoteReference w:id="71"/>
      </w:r>
      <w:r>
        <w:rPr>
          <w:rFonts w:ascii="David" w:cs="David" w:eastAsia="David" w:hAnsi="David"/>
          <w:noProof/>
          <w:sz w:val="24"/>
          <w:szCs w:val="24"/>
          <w:rtl/>
          <w:lang w:bidi="he-IL"/>
        </w:rPr>
        <w:t xml:space="preserve"> והיא הוצגה כהמשך להתפתחות השיטור הקלאסי במשטרות מתקדמות.</w:t>
      </w:r>
      <w:r>
        <w:rPr>
          <w:rStyle w:val="FootnoteReference"/>
        </w:rPr>
        <w:footnoteReference w:id="72"/>
      </w:r>
      <w:r>
        <w:rPr>
          <w:rFonts w:ascii="David" w:cs="David" w:eastAsia="David" w:hAnsi="David"/>
          <w:noProof/>
          <w:sz w:val="24"/>
          <w:szCs w:val="24"/>
          <w:rtl/>
          <w:lang w:bidi="he-I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noProof/>
          <w:sz w:val="28"/>
          <w:szCs w:val="28"/>
          <w:rtl/>
          <w:lang w:bidi="he-IL"/>
        </w:rPr>
        <w:t xml:space="preserve">3.2 איתור הבעיות, הסריקה והניתוח</w:t>
      </w:r>
    </w:p>
    <w:p>
      <w:pPr>
        <w:bidi/>
        <w:spacing w:after="120" w:line="360"/>
        <w:ind w:firstLine="0"/>
        <w:jc w:val="both"/>
      </w:pPr>
      <w:r>
        <w:rPr>
          <w:rFonts w:ascii="David" w:cs="David" w:eastAsia="David" w:hAnsi="David"/>
          <w:noProof/>
          <w:sz w:val="24"/>
          <w:szCs w:val="24"/>
          <w:rtl/>
          <w:lang w:bidi="he-I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noProof/>
          <w:sz w:val="24"/>
          <w:szCs w:val="24"/>
          <w:rtl/>
          <w:lang w:bidi="he-I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noProof/>
          <w:sz w:val="24"/>
          <w:szCs w:val="24"/>
          <w:rtl/>
          <w:lang w:bidi="he-I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noProof/>
          <w:sz w:val="24"/>
          <w:szCs w:val="24"/>
          <w:rtl/>
          <w:lang w:bidi="he-I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noProof/>
          <w:sz w:val="24"/>
          <w:szCs w:val="24"/>
          <w:rtl/>
          <w:lang w:bidi="he-I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noProof/>
          <w:sz w:val="28"/>
          <w:szCs w:val="28"/>
          <w:rtl/>
          <w:lang w:bidi="he-IL"/>
        </w:rPr>
        <w:t xml:space="preserve">3.3 תוכניות התקיפה, הקצאת המשאבים ושיתוף הגורמים המקומיים</w:t>
      </w:r>
    </w:p>
    <w:p>
      <w:pPr>
        <w:bidi/>
        <w:spacing w:after="120" w:line="360"/>
        <w:ind w:firstLine="0"/>
        <w:jc w:val="both"/>
      </w:pPr>
      <w:r>
        <w:rPr>
          <w:rFonts w:ascii="David" w:cs="David" w:eastAsia="David" w:hAnsi="David"/>
          <w:noProof/>
          <w:sz w:val="24"/>
          <w:szCs w:val="24"/>
          <w:rtl/>
          <w:lang w:bidi="he-I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noProof/>
          <w:sz w:val="24"/>
          <w:szCs w:val="24"/>
          <w:rtl/>
          <w:lang w:bidi="he-I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noProof/>
          <w:sz w:val="24"/>
          <w:szCs w:val="24"/>
          <w:rtl/>
          <w:lang w:bidi="he-I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noProof/>
          <w:sz w:val="24"/>
          <w:szCs w:val="24"/>
          <w:rtl/>
          <w:lang w:bidi="he-I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noProof/>
          <w:sz w:val="28"/>
          <w:szCs w:val="28"/>
          <w:rtl/>
          <w:lang w:bidi="he-IL"/>
        </w:rPr>
        <w:t xml:space="preserve">3.4 מדדי ההצלחה, מנגנון ההערכה והסיכונים המשפטיים</w:t>
      </w:r>
    </w:p>
    <w:p>
      <w:pPr>
        <w:bidi/>
        <w:spacing w:after="120" w:line="360"/>
        <w:ind w:firstLine="0"/>
        <w:jc w:val="both"/>
      </w:pPr>
      <w:r>
        <w:rPr>
          <w:rFonts w:ascii="David" w:cs="David" w:eastAsia="David" w:hAnsi="David"/>
          <w:noProof/>
          <w:sz w:val="24"/>
          <w:szCs w:val="24"/>
          <w:rtl/>
          <w:lang w:bidi="he-IL"/>
        </w:rPr>
        <w:t xml:space="preserve">כל תחנה נמדדה מול עצמה, וההצלחה הוגדרה כמניעת פשיעה.</w:t>
      </w:r>
      <w:r>
        <w:rPr>
          <w:rStyle w:val="FootnoteReference"/>
        </w:rPr>
        <w:footnoteReference w:id="79"/>
      </w:r>
      <w:r>
        <w:rPr>
          <w:rFonts w:ascii="David" w:cs="David" w:eastAsia="David" w:hAnsi="David"/>
          <w:noProof/>
          <w:sz w:val="24"/>
          <w:szCs w:val="24"/>
          <w:rtl/>
          <w:lang w:bidi="he-I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noProof/>
          <w:sz w:val="24"/>
          <w:szCs w:val="24"/>
          <w:rtl/>
          <w:lang w:bidi="he-I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noProof/>
          <w:sz w:val="24"/>
          <w:szCs w:val="24"/>
          <w:rtl/>
          <w:lang w:bidi="he-I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noProof/>
          <w:sz w:val="24"/>
          <w:szCs w:val="24"/>
          <w:rtl/>
          <w:lang w:bidi="he-I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noProof/>
          <w:sz w:val="24"/>
          <w:szCs w:val="24"/>
          <w:rtl/>
          <w:lang w:bidi="he-I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noProof/>
          <w:sz w:val="24"/>
          <w:szCs w:val="24"/>
          <w:rtl/>
          <w:lang w:bidi="he-I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noProof/>
          <w:sz w:val="24"/>
          <w:szCs w:val="24"/>
          <w:rtl/>
          <w:lang w:bidi="he-IL"/>
        </w:rPr>
        <w:t xml:space="preserve">התנועה למען איכות השלטון</w:t>
      </w:r>
      <w:r>
        <w:rPr>
          <w:rFonts w:ascii="David" w:cs="David" w:eastAsia="David" w:hAnsi="David"/>
          <w:noProof/>
          <w:sz w:val="24"/>
          <w:szCs w:val="24"/>
          <w:rtl/>
          <w:lang w:bidi="he-I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noProof/>
          <w:sz w:val="32"/>
          <w:szCs w:val="32"/>
          <w:rtl/>
          <w:lang w:bidi="he-IL"/>
        </w:rPr>
        <w:t xml:space="preserve">4. צעירים ערבים בני 18 עד 24 כמקרה מבחן</w:t>
      </w:r>
    </w:p>
    <w:p>
      <w:pPr>
        <w:pStyle w:val="Heading2"/>
        <w:bidi/>
        <w:spacing w:after="160" w:before="240"/>
        <w:jc w:val="right"/>
      </w:pPr>
      <w:r>
        <w:rPr>
          <w:rFonts w:ascii="David" w:cs="David" w:eastAsia="David" w:hAnsi="David"/>
          <w:b/>
          <w:bCs/>
          <w:noProof/>
          <w:sz w:val="28"/>
          <w:szCs w:val="28"/>
          <w:rtl/>
          <w:lang w:bidi="he-IL"/>
        </w:rPr>
        <w:t xml:space="preserve">4.1 ההצדקה לבחירת קבוצת הגיל</w:t>
      </w:r>
    </w:p>
    <w:p>
      <w:pPr>
        <w:bidi/>
        <w:spacing w:after="120" w:line="360"/>
        <w:ind w:firstLine="0"/>
        <w:jc w:val="both"/>
      </w:pPr>
      <w:r>
        <w:rPr>
          <w:rFonts w:ascii="David" w:cs="David" w:eastAsia="David" w:hAnsi="David"/>
          <w:noProof/>
          <w:sz w:val="24"/>
          <w:szCs w:val="24"/>
          <w:rtl/>
          <w:lang w:bidi="he-I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noProof/>
          <w:sz w:val="24"/>
          <w:szCs w:val="24"/>
          <w:rtl/>
          <w:lang w:bidi="he-IL"/>
        </w:rPr>
        <w:t xml:space="preserve"> ולכן הם משמשים רקע ולא בסיס לייחוס תוצאות לצעירים.</w:t>
      </w:r>
    </w:p>
    <w:p>
      <w:pPr>
        <w:bidi/>
        <w:spacing w:after="120" w:line="360"/>
        <w:ind w:firstLine="0"/>
        <w:jc w:val="both"/>
      </w:pPr>
      <w:r>
        <w:rPr>
          <w:rFonts w:ascii="David" w:cs="David" w:eastAsia="David" w:hAnsi="David"/>
          <w:noProof/>
          <w:sz w:val="24"/>
          <w:szCs w:val="24"/>
          <w:rtl/>
          <w:lang w:bidi="he-I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noProof/>
          <w:sz w:val="24"/>
          <w:szCs w:val="24"/>
          <w:rtl/>
          <w:lang w:bidi="he-I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noProof/>
          <w:sz w:val="24"/>
          <w:szCs w:val="24"/>
          <w:rtl/>
          <w:lang w:bidi="he-I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noProof/>
          <w:sz w:val="24"/>
          <w:szCs w:val="24"/>
          <w:rtl/>
          <w:lang w:bidi="he-I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noProof/>
          <w:sz w:val="24"/>
          <w:szCs w:val="24"/>
          <w:rtl/>
          <w:lang w:bidi="he-IL"/>
        </w:rPr>
        <w:t xml:space="preserve"> בנוסף, צעירים משתתפים יותר במחאות, ובעניין </w:t>
      </w:r>
      <w:r>
        <w:rPr>
          <w:rFonts w:ascii="David" w:cs="David" w:eastAsia="David" w:hAnsi="David"/>
          <w:b/>
          <w:bCs/>
          <w:noProof/>
          <w:sz w:val="24"/>
          <w:szCs w:val="24"/>
          <w:rtl/>
          <w:lang w:bidi="he-IL"/>
        </w:rPr>
        <w:t xml:space="preserve">דיאב</w:t>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עבאס</w:t>
      </w:r>
      <w:r>
        <w:rPr>
          <w:rFonts w:ascii="David" w:cs="David" w:eastAsia="David" w:hAnsi="David"/>
          <w:noProof/>
          <w:sz w:val="24"/>
          <w:szCs w:val="24"/>
          <w:rtl/>
          <w:lang w:bidi="he-I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noProof/>
          <w:sz w:val="28"/>
          <w:szCs w:val="28"/>
          <w:rtl/>
          <w:lang w:bidi="he-IL"/>
        </w:rPr>
        <w:t xml:space="preserve">4.2 נשק בלתי חוקי, ירי וחשיפה לעבריינות</w:t>
      </w:r>
    </w:p>
    <w:p>
      <w:pPr>
        <w:bidi/>
        <w:spacing w:after="120" w:line="360"/>
        <w:ind w:firstLine="0"/>
        <w:jc w:val="both"/>
      </w:pPr>
      <w:r>
        <w:rPr>
          <w:rFonts w:ascii="David" w:cs="David" w:eastAsia="David" w:hAnsi="David"/>
          <w:noProof/>
          <w:sz w:val="24"/>
          <w:szCs w:val="24"/>
          <w:rtl/>
          <w:lang w:bidi="he-I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noProof/>
          <w:sz w:val="24"/>
          <w:szCs w:val="24"/>
          <w:rtl/>
          <w:lang w:bidi="he-I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noProof/>
          <w:sz w:val="24"/>
          <w:szCs w:val="24"/>
          <w:rtl/>
          <w:lang w:bidi="he-I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noProof/>
          <w:sz w:val="24"/>
          <w:szCs w:val="24"/>
          <w:rtl/>
          <w:lang w:bidi="he-I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noProof/>
          <w:sz w:val="24"/>
          <w:szCs w:val="24"/>
          <w:rtl/>
          <w:lang w:bidi="he-I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noProof/>
          <w:sz w:val="24"/>
          <w:szCs w:val="24"/>
          <w:rtl/>
          <w:lang w:bidi="he-IL"/>
        </w:rPr>
        <w:t xml:space="preserve"> וזמינותו היא גורם מרכזי בתופעה.</w:t>
      </w:r>
      <w:r>
        <w:rPr>
          <w:rStyle w:val="FootnoteReference"/>
        </w:rPr>
        <w:footnoteReference w:id="94"/>
      </w:r>
      <w:r>
        <w:rPr>
          <w:rFonts w:ascii="David" w:cs="David" w:eastAsia="David" w:hAnsi="David"/>
          <w:noProof/>
          <w:sz w:val="24"/>
          <w:szCs w:val="24"/>
          <w:rtl/>
          <w:lang w:bidi="he-I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noProof/>
          <w:sz w:val="24"/>
          <w:szCs w:val="24"/>
          <w:rtl/>
          <w:lang w:bidi="he-IL"/>
        </w:rPr>
        <w:t xml:space="preserve"> ועבירה נפרדת של ירי מנשק חם, בחומרה יתרה באזור מגורים.</w:t>
      </w:r>
      <w:r>
        <w:rPr>
          <w:rStyle w:val="FootnoteReference"/>
        </w:rPr>
        <w:footnoteReference w:id="96"/>
      </w:r>
      <w:r>
        <w:rPr>
          <w:rFonts w:ascii="David" w:cs="David" w:eastAsia="David" w:hAnsi="David"/>
          <w:noProof/>
          <w:sz w:val="24"/>
          <w:szCs w:val="24"/>
          <w:rtl/>
          <w:lang w:bidi="he-IL"/>
        </w:rPr>
        <w:t xml:space="preserve"> עבירות נשק מקימות גם חזקת מסוכנות בהליכי מעצר.</w:t>
      </w:r>
      <w:r>
        <w:rPr>
          <w:rStyle w:val="FootnoteReference"/>
        </w:rPr>
        <w:footnoteReference w:id="97"/>
      </w:r>
      <w:r>
        <w:rPr>
          <w:rFonts w:ascii="David" w:cs="David" w:eastAsia="David" w:hAnsi="David"/>
          <w:noProof/>
          <w:sz w:val="24"/>
          <w:szCs w:val="24"/>
          <w:rtl/>
          <w:lang w:bidi="he-I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noProof/>
          <w:sz w:val="24"/>
          <w:szCs w:val="24"/>
          <w:rtl/>
          <w:lang w:bidi="he-I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noProof/>
          <w:sz w:val="24"/>
          <w:szCs w:val="24"/>
          <w:rtl/>
          <w:lang w:bidi="he-I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noProof/>
          <w:sz w:val="24"/>
          <w:szCs w:val="24"/>
          <w:rtl/>
          <w:lang w:bidi="he-I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noProof/>
          <w:sz w:val="28"/>
          <w:szCs w:val="28"/>
          <w:rtl/>
          <w:lang w:bidi="he-IL"/>
        </w:rPr>
        <w:t xml:space="preserve">4.3 מעצרים, תיקי חקירה, כתבי אישום ואיכות האכיפה</w:t>
      </w:r>
    </w:p>
    <w:p>
      <w:pPr>
        <w:bidi/>
        <w:spacing w:after="120" w:line="360"/>
        <w:ind w:firstLine="0"/>
        <w:jc w:val="both"/>
      </w:pPr>
      <w:r>
        <w:rPr>
          <w:rFonts w:ascii="David" w:cs="David" w:eastAsia="David" w:hAnsi="David"/>
          <w:noProof/>
          <w:sz w:val="24"/>
          <w:szCs w:val="24"/>
          <w:rtl/>
          <w:lang w:bidi="he-IL"/>
        </w:rPr>
        <w:t xml:space="preserve">בשנים 2023 ו-2024 היו כ-65% מן המעצרים של צעירים מעצרים של לא יהודים.</w:t>
      </w:r>
      <w:r>
        <w:rPr>
          <w:rStyle w:val="FootnoteReference"/>
        </w:rPr>
        <w:footnoteReference w:id="101"/>
      </w:r>
      <w:r>
        <w:rPr>
          <w:rFonts w:ascii="David" w:cs="David" w:eastAsia="David" w:hAnsi="David"/>
          <w:noProof/>
          <w:sz w:val="24"/>
          <w:szCs w:val="24"/>
          <w:rtl/>
          <w:lang w:bidi="he-I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noProof/>
          <w:sz w:val="24"/>
          <w:szCs w:val="24"/>
          <w:rtl/>
          <w:lang w:bidi="he-I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noProof/>
          <w:sz w:val="24"/>
          <w:szCs w:val="24"/>
          <w:rtl/>
          <w:lang w:bidi="he-I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noProof/>
          <w:sz w:val="24"/>
          <w:szCs w:val="24"/>
          <w:rtl/>
          <w:lang w:bidi="he-I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noProof/>
          <w:sz w:val="24"/>
          <w:szCs w:val="24"/>
          <w:rtl/>
          <w:lang w:bidi="he-I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noProof/>
          <w:sz w:val="24"/>
          <w:szCs w:val="24"/>
          <w:rtl/>
          <w:lang w:bidi="he-I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noProof/>
          <w:sz w:val="24"/>
          <w:szCs w:val="24"/>
          <w:rtl/>
          <w:lang w:bidi="he-I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noProof/>
          <w:sz w:val="28"/>
          <w:szCs w:val="28"/>
          <w:rtl/>
          <w:lang w:bidi="he-IL"/>
        </w:rPr>
        <w:t xml:space="preserve">4.4 בין שיטור חסר לשיטור יתר: אמון, דיווח ושיתוף פעולה</w:t>
      </w:r>
    </w:p>
    <w:p>
      <w:pPr>
        <w:bidi/>
        <w:spacing w:after="120" w:line="360"/>
        <w:ind w:firstLine="0"/>
        <w:jc w:val="both"/>
      </w:pPr>
      <w:r>
        <w:rPr>
          <w:rFonts w:ascii="David" w:cs="David" w:eastAsia="David" w:hAnsi="David"/>
          <w:noProof/>
          <w:sz w:val="24"/>
          <w:szCs w:val="24"/>
          <w:rtl/>
          <w:lang w:bidi="he-I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noProof/>
          <w:sz w:val="24"/>
          <w:szCs w:val="24"/>
          <w:rtl/>
          <w:lang w:bidi="he-I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noProof/>
          <w:sz w:val="24"/>
          <w:szCs w:val="24"/>
          <w:rtl/>
          <w:lang w:bidi="he-I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noProof/>
          <w:sz w:val="24"/>
          <w:szCs w:val="24"/>
          <w:rtl/>
          <w:lang w:bidi="he-I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noProof/>
          <w:sz w:val="24"/>
          <w:szCs w:val="24"/>
          <w:rtl/>
          <w:lang w:bidi="he-IL"/>
        </w:rPr>
        <w:t xml:space="preserve"> ושפיקוח משטרתי כבד אינו מעיד בהכרח על משילות.</w:t>
      </w:r>
      <w:r>
        <w:rPr>
          <w:rStyle w:val="FootnoteReference"/>
        </w:rPr>
        <w:footnoteReference w:id="112"/>
      </w:r>
      <w:r>
        <w:rPr>
          <w:rFonts w:ascii="David" w:cs="David" w:eastAsia="David" w:hAnsi="David"/>
          <w:noProof/>
          <w:sz w:val="24"/>
          <w:szCs w:val="24"/>
          <w:rtl/>
          <w:lang w:bidi="he-I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noProof/>
          <w:sz w:val="24"/>
          <w:szCs w:val="24"/>
          <w:rtl/>
          <w:lang w:bidi="he-I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noProof/>
          <w:sz w:val="24"/>
          <w:szCs w:val="24"/>
          <w:rtl/>
          <w:lang w:bidi="he-I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noProof/>
          <w:sz w:val="24"/>
          <w:szCs w:val="24"/>
          <w:rtl/>
          <w:lang w:bidi="he-I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noProof/>
          <w:sz w:val="24"/>
          <w:szCs w:val="24"/>
          <w:rtl/>
          <w:lang w:bidi="he-I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noProof/>
          <w:sz w:val="24"/>
          <w:szCs w:val="24"/>
          <w:rtl/>
          <w:lang w:bidi="he-IL"/>
        </w:rPr>
        <w:t xml:space="preserve"> פודם ועמיתיה מוסיפים שבשונה מן האזרחים, שוטרים סבורים שלגיטימיות המשטרה נובעת בעיקר מביצועיה בפועל, ושהוגנות הדרך שבה הם פועלים היא גורם משני.</w:t>
      </w:r>
      <w:r>
        <w:rPr>
          <w:rStyle w:val="FootnoteReference"/>
        </w:rPr>
        <w:footnoteReference w:id="118"/>
      </w:r>
      <w:r>
        <w:rPr>
          <w:rFonts w:ascii="David" w:cs="David" w:eastAsia="David" w:hAnsi="David"/>
          <w:noProof/>
          <w:sz w:val="24"/>
          <w:szCs w:val="24"/>
          <w:rtl/>
          <w:lang w:bidi="he-IL"/>
        </w:rPr>
        <w:t xml:space="preserve"> גם ההגנה על מי שמוסר מידע מוגבלת: ברק-ארז מראה שבתי המשפט הגנו בעיקר על זהותם של מודיעים משטרתיים,</w:t>
      </w:r>
      <w:r>
        <w:rPr>
          <w:rStyle w:val="FootnoteReference"/>
        </w:rPr>
        <w:footnoteReference w:id="119"/>
      </w:r>
      <w:r>
        <w:rPr>
          <w:rFonts w:ascii="David" w:cs="David" w:eastAsia="David" w:hAnsi="David"/>
          <w:noProof/>
          <w:sz w:val="24"/>
          <w:szCs w:val="24"/>
          <w:rtl/>
          <w:lang w:bidi="he-IL"/>
        </w:rPr>
        <w:t xml:space="preserve"> ופסיקה מאוחרת יותר סייגה אף את ההגנה הזו.</w:t>
      </w:r>
      <w:r>
        <w:rPr>
          <w:rStyle w:val="FootnoteReference"/>
        </w:rPr>
        <w:footnoteReference w:id="120"/>
      </w:r>
      <w:r>
        <w:rPr>
          <w:rFonts w:ascii="David" w:cs="David" w:eastAsia="David" w:hAnsi="David"/>
          <w:noProof/>
          <w:sz w:val="24"/>
          <w:szCs w:val="24"/>
          <w:rtl/>
          <w:lang w:bidi="he-IL"/>
        </w:rPr>
        <w:t xml:space="preserve"> הרדוף מזהיר ששימוש במודיעים ובאמצעי מעקב שאינם מוסדרים בחוק עלול לסדוק את האמון החברתי.</w:t>
      </w:r>
      <w:r>
        <w:rPr>
          <w:rStyle w:val="FootnoteReference"/>
        </w:rPr>
        <w:footnoteReference w:id="121"/>
      </w:r>
      <w:r>
        <w:rPr>
          <w:rFonts w:ascii="David" w:cs="David" w:eastAsia="David" w:hAnsi="David"/>
          <w:noProof/>
          <w:sz w:val="24"/>
          <w:szCs w:val="24"/>
          <w:rtl/>
          <w:lang w:bidi="he-I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2"/>
      </w:r>
      <w:r>
        <w:rPr>
          <w:rFonts w:ascii="David" w:cs="David" w:eastAsia="David" w:hAnsi="David"/>
          <w:noProof/>
          <w:sz w:val="24"/>
          <w:szCs w:val="24"/>
          <w:rtl/>
          <w:lang w:bidi="he-I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3"/>
      </w:r>
      <w:r>
        <w:rPr>
          <w:rFonts w:ascii="David" w:cs="David" w:eastAsia="David" w:hAnsi="David"/>
          <w:noProof/>
          <w:sz w:val="24"/>
          <w:szCs w:val="24"/>
          <w:rtl/>
          <w:lang w:bidi="he-I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noProof/>
          <w:sz w:val="32"/>
          <w:szCs w:val="32"/>
          <w:rtl/>
          <w:lang w:bidi="he-IL"/>
        </w:rPr>
        <w:t xml:space="preserve">5. יישום רפורמת אמו"ן והערכת האפקטיביות שלה</w:t>
      </w:r>
    </w:p>
    <w:p>
      <w:pPr>
        <w:pStyle w:val="Heading2"/>
        <w:bidi/>
        <w:spacing w:after="160" w:before="240"/>
        <w:jc w:val="right"/>
      </w:pPr>
      <w:r>
        <w:rPr>
          <w:rFonts w:ascii="David" w:cs="David" w:eastAsia="David" w:hAnsi="David"/>
          <w:b/>
          <w:bCs/>
          <w:noProof/>
          <w:sz w:val="28"/>
          <w:szCs w:val="28"/>
          <w:rtl/>
          <w:lang w:bidi="he-IL"/>
        </w:rPr>
        <w:t xml:space="preserve">5.1 תוצאות הרפורמה בעבירות רכוש</w:t>
      </w:r>
    </w:p>
    <w:p>
      <w:pPr>
        <w:bidi/>
        <w:spacing w:after="120" w:line="360"/>
        <w:ind w:firstLine="0"/>
        <w:jc w:val="both"/>
      </w:pPr>
      <w:r>
        <w:rPr>
          <w:rFonts w:ascii="David" w:cs="David" w:eastAsia="David" w:hAnsi="David"/>
          <w:noProof/>
          <w:sz w:val="24"/>
          <w:szCs w:val="24"/>
          <w:rtl/>
          <w:lang w:bidi="he-I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4"/>
      </w:r>
      <w:r>
        <w:rPr>
          <w:rFonts w:ascii="David" w:cs="David" w:eastAsia="David" w:hAnsi="David"/>
          <w:noProof/>
          <w:sz w:val="24"/>
          <w:szCs w:val="24"/>
          <w:rtl/>
          <w:lang w:bidi="he-IL"/>
        </w:rPr>
        <w:t xml:space="preserve"> בסל הרכוש הושוו שלוש תחנות התערבות, עם היקף גבוה, בינוני ונמוך של פשיעת רכוש, לתחנות ביקורת דומות.</w:t>
      </w:r>
      <w:r>
        <w:rPr>
          <w:rStyle w:val="FootnoteReference"/>
        </w:rPr>
        <w:footnoteReference w:id="125"/>
      </w:r>
      <w:r>
        <w:rPr>
          <w:rFonts w:ascii="David" w:cs="David" w:eastAsia="David" w:hAnsi="David"/>
          <w:noProof/>
          <w:sz w:val="24"/>
          <w:szCs w:val="24"/>
          <w:rtl/>
          <w:lang w:bidi="he-I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6"/>
      </w:r>
    </w:p>
    <w:p>
      <w:pPr>
        <w:bidi/>
        <w:spacing w:after="120" w:line="360"/>
        <w:ind w:firstLine="0"/>
        <w:jc w:val="both"/>
      </w:pPr>
      <w:r>
        <w:rPr>
          <w:rFonts w:ascii="David" w:cs="David" w:eastAsia="David" w:hAnsi="David"/>
          <w:noProof/>
          <w:sz w:val="24"/>
          <w:szCs w:val="24"/>
          <w:rtl/>
          <w:lang w:bidi="he-I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7"/>
      </w:r>
      <w:r>
        <w:rPr>
          <w:rFonts w:ascii="David" w:cs="David" w:eastAsia="David" w:hAnsi="David"/>
          <w:noProof/>
          <w:sz w:val="24"/>
          <w:szCs w:val="24"/>
          <w:rtl/>
          <w:lang w:bidi="he-IL"/>
        </w:rPr>
        <w:t xml:space="preserve"> בעוד שבירי קשה למקם אירועים ולהתאים את ההתערבות לסוגי הסכסוכים.</w:t>
      </w:r>
      <w:r>
        <w:rPr>
          <w:rStyle w:val="FootnoteReference"/>
        </w:rPr>
        <w:footnoteReference w:id="128"/>
      </w:r>
      <w:r>
        <w:rPr>
          <w:rFonts w:ascii="David" w:cs="David" w:eastAsia="David" w:hAnsi="David"/>
          <w:noProof/>
          <w:sz w:val="24"/>
          <w:szCs w:val="24"/>
          <w:rtl/>
          <w:lang w:bidi="he-I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9"/>
      </w:r>
    </w:p>
    <w:p>
      <w:pPr>
        <w:pStyle w:val="Heading2"/>
        <w:bidi/>
        <w:spacing w:after="160" w:before="240"/>
        <w:jc w:val="right"/>
      </w:pPr>
      <w:r>
        <w:rPr>
          <w:rFonts w:ascii="David" w:cs="David" w:eastAsia="David" w:hAnsi="David"/>
          <w:b/>
          <w:bCs/>
          <w:noProof/>
          <w:sz w:val="28"/>
          <w:szCs w:val="28"/>
          <w:rtl/>
          <w:lang w:bidi="he-IL"/>
        </w:rPr>
        <w:t xml:space="preserve">5.2 תוצאות הרפורמה בעבירות אלימות וירי</w:t>
      </w:r>
    </w:p>
    <w:p>
      <w:pPr>
        <w:bidi/>
        <w:spacing w:after="120" w:line="360"/>
        <w:ind w:firstLine="0"/>
        <w:jc w:val="both"/>
      </w:pPr>
      <w:r>
        <w:rPr>
          <w:rFonts w:ascii="David" w:cs="David" w:eastAsia="David" w:hAnsi="David"/>
          <w:noProof/>
          <w:sz w:val="24"/>
          <w:szCs w:val="24"/>
          <w:rtl/>
          <w:lang w:bidi="he-I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30"/>
      </w:r>
      <w:r>
        <w:rPr>
          <w:rFonts w:ascii="David" w:cs="David" w:eastAsia="David" w:hAnsi="David"/>
          <w:noProof/>
          <w:sz w:val="24"/>
          <w:szCs w:val="24"/>
          <w:rtl/>
          <w:lang w:bidi="he-I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1"/>
      </w:r>
    </w:p>
    <w:p>
      <w:pPr>
        <w:bidi/>
        <w:spacing w:after="120" w:line="360"/>
        <w:ind w:firstLine="0"/>
        <w:jc w:val="both"/>
      </w:pPr>
      <w:r>
        <w:rPr>
          <w:rFonts w:ascii="David" w:cs="David" w:eastAsia="David" w:hAnsi="David"/>
          <w:noProof/>
          <w:sz w:val="24"/>
          <w:szCs w:val="24"/>
          <w:rtl/>
          <w:lang w:bidi="he-IL"/>
        </w:rPr>
        <w:t xml:space="preserve">בסל הירי נערך מחקר תהליך איכותני בארבע תחנות, רובן בחברה הערבית.</w:t>
      </w:r>
      <w:r>
        <w:rPr>
          <w:rStyle w:val="FootnoteReference"/>
        </w:rPr>
        <w:footnoteReference w:id="132"/>
      </w:r>
      <w:r>
        <w:rPr>
          <w:rFonts w:ascii="David" w:cs="David" w:eastAsia="David" w:hAnsi="David"/>
          <w:noProof/>
          <w:sz w:val="24"/>
          <w:szCs w:val="24"/>
          <w:rtl/>
          <w:lang w:bidi="he-IL"/>
        </w:rPr>
        <w:t xml:space="preserve"> מערכות המדידה לא אפשרו למקם אירועים ביישובים ערביים, ולכן המיקוד המרחבי לא יושם ברוב התחנות.</w:t>
      </w:r>
      <w:r>
        <w:rPr>
          <w:rStyle w:val="FootnoteReference"/>
        </w:rPr>
        <w:footnoteReference w:id="133"/>
      </w:r>
      <w:r>
        <w:rPr>
          <w:rFonts w:ascii="David" w:cs="David" w:eastAsia="David" w:hAnsi="David"/>
          <w:noProof/>
          <w:sz w:val="24"/>
          <w:szCs w:val="24"/>
          <w:rtl/>
          <w:lang w:bidi="he-I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4"/>
      </w:r>
      <w:r>
        <w:rPr>
          <w:rFonts w:ascii="David" w:cs="David" w:eastAsia="David" w:hAnsi="David"/>
          <w:noProof/>
          <w:sz w:val="24"/>
          <w:szCs w:val="24"/>
          <w:rtl/>
          <w:lang w:bidi="he-IL"/>
        </w:rPr>
        <w:t xml:space="preserve"> בתחנה שהתמקדה בארבע שכונות נרשמה ירידה משמעותית בירי, אך גם בתחנה שלא הגדירה פוליגון הושגו היעדים.</w:t>
      </w:r>
      <w:r>
        <w:rPr>
          <w:rStyle w:val="FootnoteReference"/>
        </w:rPr>
        <w:footnoteReference w:id="135"/>
      </w:r>
      <w:r>
        <w:rPr>
          <w:rFonts w:ascii="David" w:cs="David" w:eastAsia="David" w:hAnsi="David"/>
          <w:noProof/>
          <w:sz w:val="24"/>
          <w:szCs w:val="24"/>
          <w:rtl/>
          <w:lang w:bidi="he-I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noProof/>
          <w:sz w:val="24"/>
          <w:szCs w:val="24"/>
          <w:rtl/>
          <w:lang w:bidi="he-I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noProof/>
          <w:sz w:val="28"/>
          <w:szCs w:val="28"/>
          <w:rtl/>
          <w:lang w:bidi="he-IL"/>
        </w:rPr>
        <w:t xml:space="preserve">5.3 הטמעת הרפורמה, משאבים ותפקוד התחנות</w:t>
      </w:r>
    </w:p>
    <w:p>
      <w:pPr>
        <w:bidi/>
        <w:spacing w:after="120" w:line="360"/>
        <w:ind w:firstLine="0"/>
        <w:jc w:val="both"/>
      </w:pPr>
      <w:r>
        <w:rPr>
          <w:rFonts w:ascii="David" w:cs="David" w:eastAsia="David" w:hAnsi="David"/>
          <w:noProof/>
          <w:sz w:val="24"/>
          <w:szCs w:val="24"/>
          <w:rtl/>
          <w:lang w:bidi="he-I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6"/>
      </w:r>
      <w:r>
        <w:rPr>
          <w:rFonts w:ascii="David" w:cs="David" w:eastAsia="David" w:hAnsi="David"/>
          <w:noProof/>
          <w:sz w:val="24"/>
          <w:szCs w:val="24"/>
          <w:rtl/>
          <w:lang w:bidi="he-I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7"/>
      </w:r>
      <w:r>
        <w:rPr>
          <w:rFonts w:ascii="David" w:cs="David" w:eastAsia="David" w:hAnsi="David"/>
          <w:noProof/>
          <w:sz w:val="24"/>
          <w:szCs w:val="24"/>
          <w:rtl/>
          <w:lang w:bidi="he-IL"/>
        </w:rPr>
        <w:t xml:space="preserve"> דרישת הסף המספרית עודדה אפוא הרחבה של הבעיה.</w:t>
      </w:r>
    </w:p>
    <w:p>
      <w:pPr>
        <w:bidi/>
        <w:spacing w:after="120" w:line="360"/>
        <w:ind w:firstLine="0"/>
        <w:jc w:val="both"/>
      </w:pPr>
      <w:r>
        <w:rPr>
          <w:rFonts w:ascii="David" w:cs="David" w:eastAsia="David" w:hAnsi="David"/>
          <w:noProof/>
          <w:sz w:val="24"/>
          <w:szCs w:val="24"/>
          <w:rtl/>
          <w:lang w:bidi="he-I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8"/>
      </w:r>
      <w:r>
        <w:rPr>
          <w:rFonts w:ascii="David" w:cs="David" w:eastAsia="David" w:hAnsi="David"/>
          <w:noProof/>
          <w:sz w:val="24"/>
          <w:szCs w:val="24"/>
          <w:rtl/>
          <w:lang w:bidi="he-IL"/>
        </w:rPr>
        <w:t xml:space="preserve"> התמונה תואמת את ממצאי מבקר המדינה על העומס במשרדי החקירות בתחנות שמשרתות אוכלוסייה ערבית.</w:t>
      </w:r>
      <w:r>
        <w:rPr>
          <w:rStyle w:val="FootnoteReference"/>
        </w:rPr>
        <w:footnoteReference w:id="139"/>
      </w:r>
      <w:r>
        <w:rPr>
          <w:rFonts w:ascii="David" w:cs="David" w:eastAsia="David" w:hAnsi="David"/>
          <w:noProof/>
          <w:sz w:val="24"/>
          <w:szCs w:val="24"/>
          <w:rtl/>
          <w:lang w:bidi="he-I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40"/>
      </w:r>
      <w:r>
        <w:rPr>
          <w:rFonts w:ascii="David" w:cs="David" w:eastAsia="David" w:hAnsi="David"/>
          <w:noProof/>
          <w:sz w:val="24"/>
          <w:szCs w:val="24"/>
          <w:rtl/>
          <w:lang w:bidi="he-IL"/>
        </w:rPr>
        <w:t xml:space="preserve"> המנגנון שמחייב תחנה להסביר פער בין תוכנית לתוצאה הוא כלי ניהולי חשוב,</w:t>
      </w:r>
      <w:r>
        <w:rPr>
          <w:rStyle w:val="FootnoteReference"/>
        </w:rPr>
        <w:footnoteReference w:id="141"/>
      </w:r>
      <w:r>
        <w:rPr>
          <w:rFonts w:ascii="David" w:cs="David" w:eastAsia="David" w:hAnsi="David"/>
          <w:noProof/>
          <w:sz w:val="24"/>
          <w:szCs w:val="24"/>
          <w:rtl/>
          <w:lang w:bidi="he-IL"/>
        </w:rPr>
        <w:t xml:space="preserve"> אך הוא מכוון לשאלות של ביצוע ולא של הוגנות.</w:t>
      </w:r>
    </w:p>
    <w:p>
      <w:pPr>
        <w:pStyle w:val="Heading2"/>
        <w:bidi/>
        <w:spacing w:after="160" w:before="240"/>
        <w:jc w:val="right"/>
      </w:pPr>
      <w:r>
        <w:rPr>
          <w:rFonts w:ascii="David" w:cs="David" w:eastAsia="David" w:hAnsi="David"/>
          <w:b/>
          <w:bCs/>
          <w:noProof/>
          <w:sz w:val="28"/>
          <w:szCs w:val="28"/>
          <w:rtl/>
          <w:lang w:bidi="he-IL"/>
        </w:rPr>
        <w:t xml:space="preserve">5.4 עמדות הציבור ומגבלות מחקרי ההערכה</w:t>
      </w:r>
    </w:p>
    <w:p>
      <w:pPr>
        <w:bidi/>
        <w:spacing w:after="120" w:line="360"/>
        <w:ind w:firstLine="0"/>
        <w:jc w:val="both"/>
      </w:pPr>
      <w:r>
        <w:rPr>
          <w:rFonts w:ascii="David" w:cs="David" w:eastAsia="David" w:hAnsi="David"/>
          <w:noProof/>
          <w:sz w:val="24"/>
          <w:szCs w:val="24"/>
          <w:rtl/>
          <w:lang w:bidi="he-I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2"/>
      </w:r>
      <w:r>
        <w:rPr>
          <w:rFonts w:ascii="David" w:cs="David" w:eastAsia="David" w:hAnsi="David"/>
          <w:noProof/>
          <w:sz w:val="24"/>
          <w:szCs w:val="24"/>
          <w:rtl/>
          <w:lang w:bidi="he-I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3"/>
      </w:r>
      <w:r>
        <w:rPr>
          <w:rFonts w:ascii="David" w:cs="David" w:eastAsia="David" w:hAnsi="David"/>
          <w:noProof/>
          <w:sz w:val="24"/>
          <w:szCs w:val="24"/>
          <w:rtl/>
          <w:lang w:bidi="he-I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noProof/>
          <w:sz w:val="24"/>
          <w:szCs w:val="24"/>
          <w:rtl/>
          <w:lang w:bidi="he-IL"/>
        </w:rPr>
        <w:t xml:space="preserve">המחקרים מתאמיים או מעין-ניסויים, בלי הקצאה אקראית של תחנות, ולכן קשה לשלול הסברים חלופיים.</w:t>
      </w:r>
      <w:r>
        <w:rPr>
          <w:rStyle w:val="FootnoteReference"/>
        </w:rPr>
        <w:footnoteReference w:id="144"/>
      </w:r>
      <w:r>
        <w:rPr>
          <w:rFonts w:ascii="David" w:cs="David" w:eastAsia="David" w:hAnsi="David"/>
          <w:noProof/>
          <w:sz w:val="24"/>
          <w:szCs w:val="24"/>
          <w:rtl/>
          <w:lang w:bidi="he-I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5"/>
      </w:r>
      <w:r>
        <w:rPr>
          <w:rFonts w:ascii="David" w:cs="David" w:eastAsia="David" w:hAnsi="David"/>
          <w:noProof/>
          <w:sz w:val="24"/>
          <w:szCs w:val="24"/>
          <w:rtl/>
          <w:lang w:bidi="he-I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noProof/>
          <w:sz w:val="32"/>
          <w:szCs w:val="32"/>
          <w:rtl/>
          <w:lang w:bidi="he-I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noProof/>
          <w:sz w:val="28"/>
          <w:szCs w:val="28"/>
          <w:rtl/>
          <w:lang w:bidi="he-IL"/>
        </w:rPr>
        <w:t xml:space="preserve">6.1 מטרת ההשוואה ואמות המידה להשוואה</w:t>
      </w:r>
    </w:p>
    <w:p>
      <w:pPr>
        <w:bidi/>
        <w:spacing w:after="120" w:line="360"/>
        <w:ind w:firstLine="0"/>
        <w:jc w:val="both"/>
      </w:pPr>
      <w:r>
        <w:rPr>
          <w:rFonts w:ascii="David" w:cs="David" w:eastAsia="David" w:hAnsi="David"/>
          <w:noProof/>
          <w:sz w:val="24"/>
          <w:szCs w:val="24"/>
          <w:rtl/>
          <w:lang w:bidi="he-I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6"/>
      </w:r>
      <w:r>
        <w:rPr>
          <w:rFonts w:ascii="David" w:cs="David" w:eastAsia="David" w:hAnsi="David"/>
          <w:noProof/>
          <w:sz w:val="24"/>
          <w:szCs w:val="24"/>
          <w:rtl/>
          <w:lang w:bidi="he-I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7"/>
      </w:r>
    </w:p>
    <w:p>
      <w:pPr>
        <w:pStyle w:val="Heading2"/>
        <w:bidi/>
        <w:spacing w:after="160" w:before="240"/>
        <w:jc w:val="right"/>
      </w:pPr>
      <w:r>
        <w:rPr>
          <w:rFonts w:ascii="David" w:cs="David" w:eastAsia="David" w:hAnsi="David"/>
          <w:b/>
          <w:bCs/>
          <w:noProof/>
          <w:sz w:val="28"/>
          <w:szCs w:val="28"/>
          <w:rtl/>
          <w:lang w:bidi="he-I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noProof/>
          <w:sz w:val="24"/>
          <w:szCs w:val="24"/>
          <w:rtl/>
          <w:lang w:bidi="he-IL"/>
        </w:rPr>
        <w:t xml:space="preserve">התיקון הרביעי לחוקה אוסר חיפושים ותפיסות בלתי סבירים.</w:t>
      </w:r>
      <w:r>
        <w:rPr>
          <w:rStyle w:val="FootnoteReference"/>
        </w:rPr>
        <w:footnoteReference w:id="148"/>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Terry‎</w:t>
      </w:r>
      <w:r>
        <w:rPr>
          <w:rFonts w:ascii="David" w:cs="David" w:eastAsia="David" w:hAnsi="David"/>
          <w:noProof/>
          <w:sz w:val="24"/>
          <w:szCs w:val="24"/>
          <w:rtl/>
          <w:lang w:bidi="he-I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9"/>
      </w:r>
      <w:r>
        <w:rPr>
          <w:rFonts w:ascii="David" w:cs="David" w:eastAsia="David" w:hAnsi="David"/>
          <w:noProof/>
          <w:sz w:val="24"/>
          <w:szCs w:val="24"/>
          <w:rtl/>
          <w:lang w:bidi="he-I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noProof/>
          <w:sz w:val="24"/>
          <w:szCs w:val="24"/>
          <w:rtl w:val="false"/>
          <w:lang w:val="en-US" w:bidi="he-IL"/>
        </w:rPr>
        <w:t xml:space="preserve">Brown‎</w:t>
      </w:r>
      <w:r>
        <w:rPr>
          <w:rFonts w:ascii="David" w:cs="David" w:eastAsia="David" w:hAnsi="David"/>
          <w:noProof/>
          <w:sz w:val="24"/>
          <w:szCs w:val="24"/>
          <w:rtl/>
          <w:lang w:bidi="he-IL"/>
        </w:rPr>
        <w:t xml:space="preserve"> נקבע שאין להרשיע אדם בסירוב להזדהות בלי נסיבות שמקימות חשד סביר,</w:t>
      </w:r>
      <w:r>
        <w:rPr>
          <w:rStyle w:val="FootnoteReference"/>
        </w:rPr>
        <w:footnoteReference w:id="150"/>
      </w:r>
      <w:r>
        <w:rPr>
          <w:rFonts w:ascii="David" w:cs="David" w:eastAsia="David" w:hAnsi="David"/>
          <w:noProof/>
          <w:sz w:val="24"/>
          <w:szCs w:val="24"/>
          <w:rtl/>
          <w:lang w:bidi="he-IL"/>
        </w:rPr>
        <w:t xml:space="preserve"> ופנייה בלי חשד כפופה למבחן "חופשי לעזוב": האם אדם סביר היה מבין שהוא רשאי לסרב ולהמשיך בדרכו.</w:t>
      </w:r>
      <w:r>
        <w:rPr>
          <w:rStyle w:val="FootnoteReference"/>
        </w:rPr>
        <w:footnoteReference w:id="151"/>
      </w:r>
      <w:r>
        <w:rPr>
          <w:rFonts w:ascii="David" w:cs="David" w:eastAsia="David" w:hAnsi="David"/>
          <w:noProof/>
          <w:sz w:val="24"/>
          <w:szCs w:val="24"/>
          <w:rtl/>
          <w:lang w:bidi="he-IL"/>
        </w:rPr>
        <w:t xml:space="preserve"> כללי </w:t>
      </w:r>
      <w:r>
        <w:rPr>
          <w:rFonts w:ascii="David" w:cs="David" w:eastAsia="David" w:hAnsi="David"/>
          <w:i/>
          <w:iCs/>
          <w:noProof/>
          <w:sz w:val="24"/>
          <w:szCs w:val="24"/>
          <w:rtl w:val="false"/>
          <w:lang w:val="en-US" w:bidi="he-IL"/>
        </w:rPr>
        <w:t xml:space="preserve">Miranda‎</w:t>
      </w:r>
      <w:r>
        <w:rPr>
          <w:rFonts w:ascii="David" w:cs="David" w:eastAsia="David" w:hAnsi="David"/>
          <w:noProof/>
          <w:sz w:val="24"/>
          <w:szCs w:val="24"/>
          <w:rtl/>
          <w:lang w:bidi="he-IL"/>
        </w:rPr>
        <w:t xml:space="preserve"> מדגימים את הגישה האמריקאית של כללים פרוצדורליים ברורים, שקל לציית להם וקל לבדוק אם קוימו.</w:t>
      </w:r>
      <w:r>
        <w:rPr>
          <w:rStyle w:val="FootnoteReference"/>
        </w:rPr>
        <w:footnoteReference w:id="152"/>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Whren‎</w:t>
      </w:r>
      <w:r>
        <w:rPr>
          <w:rFonts w:ascii="David" w:cs="David" w:eastAsia="David" w:hAnsi="David"/>
          <w:noProof/>
          <w:sz w:val="24"/>
          <w:szCs w:val="24"/>
          <w:rtl/>
          <w:lang w:bidi="he-I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3"/>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Wardlow‎</w:t>
      </w:r>
      <w:r>
        <w:rPr>
          <w:rFonts w:ascii="David" w:cs="David" w:eastAsia="David" w:hAnsi="David"/>
          <w:noProof/>
          <w:sz w:val="24"/>
          <w:szCs w:val="24"/>
          <w:rtl/>
          <w:lang w:bidi="he-IL"/>
        </w:rPr>
        <w:t xml:space="preserve"> נקבע שנוכחות באזור של פשיעה גבוהה אינה מספיקה לבדה לחשד, אך היא רלוונטית להערכת הנסיבות.</w:t>
      </w:r>
      <w:r>
        <w:rPr>
          <w:rStyle w:val="FootnoteReference"/>
        </w:rPr>
        <w:footnoteReference w:id="154"/>
      </w:r>
      <w:r>
        <w:rPr>
          <w:rFonts w:ascii="David" w:cs="David" w:eastAsia="David" w:hAnsi="David"/>
          <w:noProof/>
          <w:sz w:val="24"/>
          <w:szCs w:val="24"/>
          <w:rtl/>
          <w:lang w:bidi="he-IL"/>
        </w:rPr>
        <w:t xml:space="preserve"> טענת הגנה שווה קשה להוכחה, משום שנדרשת הוכחה של תוצאה מפלה ושל מטרה מפלה.</w:t>
      </w:r>
      <w:r>
        <w:rPr>
          <w:rStyle w:val="FootnoteReference"/>
        </w:rPr>
        <w:footnoteReference w:id="155"/>
      </w:r>
    </w:p>
    <w:p>
      <w:pPr>
        <w:bidi/>
        <w:spacing w:after="120" w:line="360"/>
        <w:ind w:firstLine="0"/>
        <w:jc w:val="both"/>
      </w:pPr>
      <w:r>
        <w:rPr>
          <w:rFonts w:ascii="David" w:cs="David" w:eastAsia="David" w:hAnsi="David"/>
          <w:noProof/>
          <w:sz w:val="24"/>
          <w:szCs w:val="24"/>
          <w:rtl/>
          <w:lang w:bidi="he-I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6"/>
      </w:r>
      <w:r>
        <w:rPr>
          <w:rFonts w:ascii="David" w:cs="David" w:eastAsia="David" w:hAnsi="David"/>
          <w:noProof/>
          <w:sz w:val="24"/>
          <w:szCs w:val="24"/>
          <w:rtl/>
          <w:lang w:bidi="he-IL"/>
        </w:rPr>
        <w:t xml:space="preserve"> מנגנוני התיקון כוללים תביעה אזרחית נגד עובד ציבור, שבה רשות מקומית אחראית רק על מדיניות או נוהג שלה,</w:t>
      </w:r>
      <w:r>
        <w:rPr>
          <w:rStyle w:val="FootnoteReference"/>
        </w:rPr>
        <w:footnoteReference w:id="157"/>
      </w:r>
      <w:r>
        <w:rPr>
          <w:rFonts w:ascii="David" w:cs="David" w:eastAsia="David" w:hAnsi="David"/>
          <w:noProof/>
          <w:sz w:val="24"/>
          <w:szCs w:val="24"/>
          <w:rtl/>
          <w:lang w:bidi="he-IL"/>
        </w:rPr>
        <w:t xml:space="preserve"> סמכות פדרלית לתבוע נגד דפוס או נוהג של הפרת זכויות,</w:t>
      </w:r>
      <w:r>
        <w:rPr>
          <w:rStyle w:val="FootnoteReference"/>
        </w:rPr>
        <w:footnoteReference w:id="158"/>
      </w:r>
      <w:r>
        <w:rPr>
          <w:rFonts w:ascii="David" w:cs="David" w:eastAsia="David" w:hAnsi="David"/>
          <w:noProof/>
          <w:sz w:val="24"/>
          <w:szCs w:val="24"/>
          <w:rtl/>
          <w:lang w:bidi="he-IL"/>
        </w:rPr>
        <w:t xml:space="preserve"> ומינוי מפקח עצמאי בהליך שיפוטי.</w:t>
      </w:r>
      <w:r>
        <w:rPr>
          <w:rStyle w:val="FootnoteReference"/>
        </w:rPr>
        <w:footnoteReference w:id="159"/>
      </w:r>
      <w:r>
        <w:rPr>
          <w:rFonts w:ascii="David" w:cs="David" w:eastAsia="David" w:hAnsi="David"/>
          <w:noProof/>
          <w:sz w:val="24"/>
          <w:szCs w:val="24"/>
          <w:rtl/>
          <w:lang w:bidi="he-IL"/>
        </w:rPr>
        <w:t xml:space="preserve"> בצד ההגנה החסרה הכלים מעטים: בעניין </w:t>
      </w:r>
      <w:r>
        <w:rPr>
          <w:rFonts w:ascii="David" w:cs="David" w:eastAsia="David" w:hAnsi="David"/>
          <w:i/>
          <w:iCs/>
          <w:noProof/>
          <w:sz w:val="24"/>
          <w:szCs w:val="24"/>
          <w:rtl w:val="false"/>
          <w:lang w:val="en-US" w:bidi="he-IL"/>
        </w:rPr>
        <w:t xml:space="preserve">DeShaney‎</w:t>
      </w:r>
      <w:r>
        <w:rPr>
          <w:rFonts w:ascii="David" w:cs="David" w:eastAsia="David" w:hAnsi="David"/>
          <w:noProof/>
          <w:sz w:val="24"/>
          <w:szCs w:val="24"/>
          <w:rtl/>
          <w:lang w:bidi="he-IL"/>
        </w:rPr>
        <w:t xml:space="preserve"> נקבע שאין, ככלל, זכות חוקתית חיובית להגנת המדינה,</w:t>
      </w:r>
      <w:r>
        <w:rPr>
          <w:rStyle w:val="FootnoteReference"/>
        </w:rPr>
        <w:footnoteReference w:id="160"/>
      </w:r>
      <w:r>
        <w:rPr>
          <w:rFonts w:ascii="David" w:cs="David" w:eastAsia="David" w:hAnsi="David"/>
          <w:noProof/>
          <w:sz w:val="24"/>
          <w:szCs w:val="24"/>
          <w:rtl/>
          <w:lang w:bidi="he-IL"/>
        </w:rPr>
        <w:t xml:space="preserve"> ובעניין </w:t>
      </w:r>
      <w:r>
        <w:rPr>
          <w:rFonts w:ascii="David" w:cs="David" w:eastAsia="David" w:hAnsi="David"/>
          <w:i/>
          <w:iCs/>
          <w:noProof/>
          <w:sz w:val="24"/>
          <w:szCs w:val="24"/>
          <w:rtl w:val="false"/>
          <w:lang w:val="en-US" w:bidi="he-IL"/>
        </w:rPr>
        <w:t xml:space="preserve">Castle Rock‎</w:t>
      </w:r>
      <w:r>
        <w:rPr>
          <w:rFonts w:ascii="David" w:cs="David" w:eastAsia="David" w:hAnsi="David"/>
          <w:noProof/>
          <w:sz w:val="24"/>
          <w:szCs w:val="24"/>
          <w:rtl/>
          <w:lang w:bidi="he-IL"/>
        </w:rPr>
        <w:t xml:space="preserve"> נדחתה הטענה לזכות קניינית באכיפת צו הגנה.</w:t>
      </w:r>
      <w:r>
        <w:rPr>
          <w:rStyle w:val="FootnoteReference"/>
        </w:rPr>
        <w:footnoteReference w:id="161"/>
      </w:r>
      <w:r>
        <w:rPr>
          <w:rFonts w:ascii="David" w:cs="David" w:eastAsia="David" w:hAnsi="David"/>
          <w:noProof/>
          <w:sz w:val="24"/>
          <w:szCs w:val="24"/>
          <w:rtl/>
          <w:lang w:bidi="he-IL"/>
        </w:rPr>
        <w:t xml:space="preserve"> בערכאות המדינתיות נקבע בעניין </w:t>
      </w:r>
      <w:r>
        <w:rPr>
          <w:rFonts w:ascii="David" w:cs="David" w:eastAsia="David" w:hAnsi="David"/>
          <w:i/>
          <w:iCs/>
          <w:noProof/>
          <w:sz w:val="24"/>
          <w:szCs w:val="24"/>
          <w:rtl w:val="false"/>
          <w:lang w:val="en-US" w:bidi="he-IL"/>
        </w:rPr>
        <w:t xml:space="preserve">White‎</w:t>
      </w:r>
      <w:r>
        <w:rPr>
          <w:rFonts w:ascii="David" w:cs="David" w:eastAsia="David" w:hAnsi="David"/>
          <w:noProof/>
          <w:sz w:val="24"/>
          <w:szCs w:val="24"/>
          <w:rtl/>
          <w:lang w:bidi="he-IL"/>
        </w:rPr>
        <w:t xml:space="preserve"> שדוקטרינת החובה הציבורית מגינה על שוטרים שלא סייעו למנוע רצח של אישה בידי בעלה, ובעניין </w:t>
      </w:r>
      <w:r>
        <w:rPr>
          <w:rFonts w:ascii="David" w:cs="David" w:eastAsia="David" w:hAnsi="David"/>
          <w:i/>
          <w:iCs/>
          <w:noProof/>
          <w:sz w:val="24"/>
          <w:szCs w:val="24"/>
          <w:rtl w:val="false"/>
          <w:lang w:val="en-US" w:bidi="he-IL"/>
        </w:rPr>
        <w:t xml:space="preserve">Cuffy‎</w:t>
      </w:r>
      <w:r>
        <w:rPr>
          <w:rFonts w:ascii="David" w:cs="David" w:eastAsia="David" w:hAnsi="David"/>
          <w:noProof/>
          <w:sz w:val="24"/>
          <w:szCs w:val="24"/>
          <w:rtl/>
          <w:lang w:bidi="he-IL"/>
        </w:rPr>
        <w:t xml:space="preserve"> נדרשה הוכחה של "יחסים מיוחדים" ושל הסתמכות.</w:t>
      </w:r>
      <w:r>
        <w:rPr>
          <w:rStyle w:val="FootnoteReference"/>
        </w:rPr>
        <w:footnoteReference w:id="162"/>
      </w:r>
      <w:r>
        <w:rPr>
          <w:rFonts w:ascii="David" w:cs="David" w:eastAsia="David" w:hAnsi="David"/>
          <w:noProof/>
          <w:sz w:val="24"/>
          <w:szCs w:val="24"/>
          <w:rtl/>
          <w:lang w:bidi="he-IL"/>
        </w:rPr>
        <w:t xml:space="preserve"> סגל מעריך שגם דיני הנזיקין אינם מספקים שם ביקורת אפקטיבית על רשויות.</w:t>
      </w:r>
      <w:r>
        <w:rPr>
          <w:rStyle w:val="FootnoteReference"/>
        </w:rPr>
        <w:footnoteReference w:id="163"/>
      </w:r>
      <w:r>
        <w:rPr>
          <w:rFonts w:ascii="David" w:cs="David" w:eastAsia="David" w:hAnsi="David"/>
          <w:noProof/>
          <w:sz w:val="24"/>
          <w:szCs w:val="24"/>
          <w:rtl/>
          <w:lang w:bidi="he-IL"/>
        </w:rPr>
        <w:t xml:space="preserve"> גלעד מתאר את הדוקטרינה שלפיה חובה כלפי ציבור רחב אינה מקימה אחריות כלפי אדם מסוים ("</w:t>
      </w:r>
      <w:r>
        <w:rPr>
          <w:rFonts w:ascii="David" w:cs="David" w:eastAsia="David" w:hAnsi="David"/>
          <w:noProof/>
          <w:sz w:val="24"/>
          <w:szCs w:val="24"/>
          <w:rtl w:val="false"/>
          <w:lang w:val="en-US" w:bidi="he-IL"/>
        </w:rPr>
        <w:t xml:space="preserve">duty to all is duty to none‎</w:t>
      </w:r>
      <w:r>
        <w:rPr>
          <w:rFonts w:ascii="David" w:cs="David" w:eastAsia="David" w:hAnsi="David"/>
          <w:noProof/>
          <w:sz w:val="24"/>
          <w:szCs w:val="24"/>
          <w:rtl/>
          <w:lang w:bidi="he-IL"/>
        </w:rPr>
        <w:t xml:space="preserve">").</w:t>
      </w:r>
      <w:r>
        <w:rPr>
          <w:rStyle w:val="FootnoteReference"/>
        </w:rPr>
        <w:footnoteReference w:id="164"/>
      </w:r>
      <w:r>
        <w:rPr>
          <w:rFonts w:ascii="David" w:cs="David" w:eastAsia="David" w:hAnsi="David"/>
          <w:noProof/>
          <w:sz w:val="24"/>
          <w:szCs w:val="24"/>
          <w:rtl/>
          <w:lang w:bidi="he-IL"/>
        </w:rPr>
        <w:t xml:space="preserve"> זהו חוסר האיזון שנטפוף הצביעה עליו.</w:t>
      </w:r>
    </w:p>
    <w:p>
      <w:pPr>
        <w:pStyle w:val="Heading2"/>
        <w:bidi/>
        <w:spacing w:after="160" w:before="240"/>
        <w:jc w:val="right"/>
      </w:pPr>
      <w:r>
        <w:rPr>
          <w:rFonts w:ascii="David" w:cs="David" w:eastAsia="David" w:hAnsi="David"/>
          <w:b/>
          <w:bCs/>
          <w:noProof/>
          <w:sz w:val="28"/>
          <w:szCs w:val="28"/>
          <w:rtl/>
          <w:lang w:bidi="he-I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noProof/>
          <w:sz w:val="24"/>
          <w:szCs w:val="24"/>
          <w:rtl/>
          <w:lang w:bidi="he-IL"/>
        </w:rPr>
        <w:t xml:space="preserve">באנגליה מותר לשוטר לערוך חיפוש כשיש לו יסוד סביר לחשוד שימצא חפץ גנוב או אסור,</w:t>
      </w:r>
      <w:r>
        <w:rPr>
          <w:rStyle w:val="FootnoteReference"/>
        </w:rPr>
        <w:footnoteReference w:id="165"/>
      </w:r>
      <w:r>
        <w:rPr>
          <w:rFonts w:ascii="David" w:cs="David" w:eastAsia="David" w:hAnsi="David"/>
          <w:noProof/>
          <w:sz w:val="24"/>
          <w:szCs w:val="24"/>
          <w:rtl/>
          <w:lang w:bidi="he-IL"/>
        </w:rPr>
        <w:t xml:space="preserve"> ורק במסלול חריג ניתן להסמיך חיפושים באזור מוגדר בלי חשד פרטני.</w:t>
      </w:r>
      <w:r>
        <w:rPr>
          <w:rStyle w:val="FootnoteReference"/>
        </w:rPr>
        <w:footnoteReference w:id="166"/>
      </w:r>
      <w:r>
        <w:rPr>
          <w:rFonts w:ascii="David" w:cs="David" w:eastAsia="David" w:hAnsi="David"/>
          <w:noProof/>
          <w:sz w:val="24"/>
          <w:szCs w:val="24"/>
          <w:rtl/>
          <w:lang w:bidi="he-IL"/>
        </w:rPr>
        <w:t xml:space="preserve"> בישראל, הגדרת פוליגון אינה מקנה סמכות מקבילה. קוד </w:t>
      </w:r>
      <w:r>
        <w:rPr>
          <w:rFonts w:ascii="David" w:cs="David" w:eastAsia="David" w:hAnsi="David"/>
          <w:noProof/>
          <w:sz w:val="24"/>
          <w:szCs w:val="24"/>
          <w:rtl w:val="false"/>
          <w:lang w:val="en-US" w:bidi="he-IL"/>
        </w:rPr>
        <w:t xml:space="preserve">A‎</w:t>
      </w:r>
      <w:r>
        <w:rPr>
          <w:rFonts w:ascii="David" w:cs="David" w:eastAsia="David" w:hAnsi="David"/>
          <w:noProof/>
          <w:sz w:val="24"/>
          <w:szCs w:val="24"/>
          <w:rtl/>
          <w:lang w:bidi="he-I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7"/>
      </w:r>
      <w:r>
        <w:rPr>
          <w:rFonts w:ascii="David" w:cs="David" w:eastAsia="David" w:hAnsi="David"/>
          <w:noProof/>
          <w:sz w:val="24"/>
          <w:szCs w:val="24"/>
          <w:rtl/>
          <w:lang w:bidi="he-IL"/>
        </w:rPr>
        <w:t xml:space="preserve"> חוק השוויון מחייב רשות ציבורית לתת משקל ראוי למניעת אפליה.</w:t>
      </w:r>
      <w:r>
        <w:rPr>
          <w:rStyle w:val="FootnoteReference"/>
        </w:rPr>
        <w:footnoteReference w:id="168"/>
      </w:r>
      <w:r>
        <w:rPr>
          <w:rFonts w:ascii="David" w:cs="David" w:eastAsia="David" w:hAnsi="David"/>
          <w:noProof/>
          <w:sz w:val="24"/>
          <w:szCs w:val="24"/>
          <w:rtl/>
          <w:lang w:bidi="he-IL"/>
        </w:rPr>
        <w:t xml:space="preserve"> הקוד מחייב פיקוח שוטף על הרישומים כדי לזהות דפוסים בלתי מידתיים, ובחינה שלהם בידי נציגי הקהילה,</w:t>
      </w:r>
      <w:r>
        <w:rPr>
          <w:rStyle w:val="FootnoteReference"/>
        </w:rPr>
        <w:footnoteReference w:id="169"/>
      </w:r>
      <w:r>
        <w:rPr>
          <w:rFonts w:ascii="David" w:cs="David" w:eastAsia="David" w:hAnsi="David"/>
          <w:noProof/>
          <w:sz w:val="24"/>
          <w:szCs w:val="24"/>
          <w:rtl/>
          <w:lang w:bidi="he-IL"/>
        </w:rPr>
        <w:t xml:space="preserve"> והחוק מחייב את השוטר להזדהות, להסביר את הבסיס לחיפוש ולרשום אותו.</w:t>
      </w:r>
      <w:r>
        <w:rPr>
          <w:rStyle w:val="FootnoteReference"/>
        </w:rPr>
        <w:footnoteReference w:id="170"/>
      </w:r>
    </w:p>
    <w:p>
      <w:pPr>
        <w:bidi/>
        <w:spacing w:after="120" w:line="360"/>
        <w:ind w:firstLine="0"/>
        <w:jc w:val="both"/>
      </w:pPr>
      <w:r>
        <w:rPr>
          <w:rFonts w:ascii="David" w:cs="David" w:eastAsia="David" w:hAnsi="David"/>
          <w:noProof/>
          <w:sz w:val="24"/>
          <w:szCs w:val="24"/>
          <w:rtl/>
          <w:lang w:bidi="he-I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1"/>
      </w:r>
      <w:r>
        <w:rPr>
          <w:rFonts w:ascii="David" w:cs="David" w:eastAsia="David" w:hAnsi="David"/>
          <w:noProof/>
          <w:sz w:val="24"/>
          <w:szCs w:val="24"/>
          <w:rtl/>
          <w:lang w:bidi="he-IL"/>
        </w:rPr>
        <w:t xml:space="preserve"> והמליץ לרשום כל עיכוב, את סיבתו, את תוצאתו ואת הזהות האתנית שהאדם מגדיר לעצמו, ולמסור לו עותק.</w:t>
      </w:r>
      <w:r>
        <w:rPr>
          <w:rStyle w:val="FootnoteReference"/>
        </w:rPr>
        <w:footnoteReference w:id="172"/>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Roberts‎</w:t>
      </w:r>
      <w:r>
        <w:rPr>
          <w:rFonts w:ascii="David" w:cs="David" w:eastAsia="David" w:hAnsi="David"/>
          <w:noProof/>
          <w:sz w:val="24"/>
          <w:szCs w:val="24"/>
          <w:rtl/>
          <w:lang w:bidi="he-I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3"/>
      </w:r>
      <w:r>
        <w:rPr>
          <w:rFonts w:ascii="David" w:cs="David" w:eastAsia="David" w:hAnsi="David"/>
          <w:noProof/>
          <w:sz w:val="24"/>
          <w:szCs w:val="24"/>
          <w:rtl/>
          <w:lang w:bidi="he-I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4"/>
      </w:r>
    </w:p>
    <w:p>
      <w:pPr>
        <w:bidi/>
        <w:spacing w:after="120" w:line="360"/>
        <w:ind w:firstLine="0"/>
        <w:jc w:val="both"/>
      </w:pPr>
      <w:r>
        <w:rPr>
          <w:rFonts w:ascii="David" w:cs="David" w:eastAsia="David" w:hAnsi="David"/>
          <w:noProof/>
          <w:sz w:val="24"/>
          <w:szCs w:val="24"/>
          <w:rtl/>
          <w:lang w:bidi="he-I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5"/>
      </w:r>
      <w:r>
        <w:rPr>
          <w:rFonts w:ascii="David" w:cs="David" w:eastAsia="David" w:hAnsi="David"/>
          <w:noProof/>
          <w:sz w:val="24"/>
          <w:szCs w:val="24"/>
          <w:rtl/>
          <w:lang w:bidi="he-I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6"/>
      </w:r>
      <w:r>
        <w:rPr>
          <w:rFonts w:ascii="David" w:cs="David" w:eastAsia="David" w:hAnsi="David"/>
          <w:noProof/>
          <w:sz w:val="24"/>
          <w:szCs w:val="24"/>
          <w:rtl/>
          <w:lang w:bidi="he-IL"/>
        </w:rPr>
        <w:t xml:space="preserve"> דוח לאמי הציע כלל של "הסבר או רפורמה" לפערים אתניים.</w:t>
      </w:r>
      <w:r>
        <w:rPr>
          <w:rStyle w:val="FootnoteReference"/>
        </w:rPr>
        <w:footnoteReference w:id="177"/>
      </w:r>
      <w:r>
        <w:rPr>
          <w:rFonts w:ascii="David" w:cs="David" w:eastAsia="David" w:hAnsi="David"/>
          <w:noProof/>
          <w:sz w:val="24"/>
          <w:szCs w:val="24"/>
          <w:rtl/>
          <w:lang w:bidi="he-I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noProof/>
          <w:sz w:val="24"/>
          <w:szCs w:val="24"/>
          <w:rtl w:val="false"/>
          <w:lang w:val="en-US" w:bidi="he-IL"/>
        </w:rPr>
        <w:t xml:space="preserve">Hill‎</w:t>
      </w:r>
      <w:r>
        <w:rPr>
          <w:rFonts w:ascii="David" w:cs="David" w:eastAsia="David" w:hAnsi="David"/>
          <w:noProof/>
          <w:sz w:val="24"/>
          <w:szCs w:val="24"/>
          <w:rtl/>
          <w:lang w:bidi="he-IL"/>
        </w:rPr>
        <w:t xml:space="preserve"> נדחתה תביעה על ניהול רשלני של חקירת רציחות.</w:t>
      </w:r>
      <w:r>
        <w:rPr>
          <w:rStyle w:val="FootnoteReference"/>
        </w:rPr>
        <w:footnoteReference w:id="178"/>
      </w:r>
      <w:r>
        <w:rPr>
          <w:rFonts w:ascii="David" w:cs="David" w:eastAsia="David" w:hAnsi="David"/>
          <w:noProof/>
          <w:sz w:val="24"/>
          <w:szCs w:val="24"/>
          <w:rtl/>
          <w:lang w:bidi="he-IL"/>
        </w:rPr>
        <w:t xml:space="preserve"> גלעד מוסיף שההגנה חלה במיוחד על החלטות תקציביות של הקצאת משאבים,</w:t>
      </w:r>
      <w:r>
        <w:rPr>
          <w:rStyle w:val="FootnoteReference"/>
        </w:rPr>
        <w:footnoteReference w:id="179"/>
      </w:r>
      <w:r>
        <w:rPr>
          <w:rFonts w:ascii="David" w:cs="David" w:eastAsia="David" w:hAnsi="David"/>
          <w:noProof/>
          <w:sz w:val="24"/>
          <w:szCs w:val="24"/>
          <w:rtl/>
          <w:lang w:bidi="he-IL"/>
        </w:rPr>
        <w:t xml:space="preserve"> ובעניין </w:t>
      </w:r>
      <w:r>
        <w:rPr>
          <w:rFonts w:ascii="David" w:cs="David" w:eastAsia="David" w:hAnsi="David"/>
          <w:i/>
          <w:iCs/>
          <w:noProof/>
          <w:sz w:val="24"/>
          <w:szCs w:val="24"/>
          <w:rtl w:val="false"/>
          <w:lang w:val="en-US" w:bidi="he-IL"/>
        </w:rPr>
        <w:t xml:space="preserve">Rigby‎</w:t>
      </w:r>
      <w:r>
        <w:rPr>
          <w:rFonts w:ascii="David" w:cs="David" w:eastAsia="David" w:hAnsi="David"/>
          <w:noProof/>
          <w:sz w:val="24"/>
          <w:szCs w:val="24"/>
          <w:rtl/>
          <w:lang w:bidi="he-IL"/>
        </w:rPr>
        <w:t xml:space="preserve"> הבחין בית המשפט בין החלטת מדיניות לבין ביצוע.</w:t>
      </w:r>
      <w:r>
        <w:rPr>
          <w:rStyle w:val="FootnoteReference"/>
        </w:rPr>
        <w:footnoteReference w:id="180"/>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Kirkham‎</w:t>
      </w:r>
      <w:r>
        <w:rPr>
          <w:rFonts w:ascii="David" w:cs="David" w:eastAsia="David" w:hAnsi="David"/>
          <w:noProof/>
          <w:sz w:val="24"/>
          <w:szCs w:val="24"/>
          <w:rtl/>
          <w:lang w:bidi="he-IL"/>
        </w:rPr>
        <w:t xml:space="preserve">, לעומת זאת, הוטלה אחריות משום שהמשטרה יצרה סיכון אקטיבי.</w:t>
      </w:r>
      <w:r>
        <w:rPr>
          <w:rStyle w:val="FootnoteReference"/>
        </w:rPr>
        <w:footnoteReference w:id="181"/>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Michael‎</w:t>
      </w:r>
      <w:r>
        <w:rPr>
          <w:rFonts w:ascii="David" w:cs="David" w:eastAsia="David" w:hAnsi="David"/>
          <w:noProof/>
          <w:sz w:val="24"/>
          <w:szCs w:val="24"/>
          <w:rtl/>
          <w:lang w:bidi="he-IL"/>
        </w:rPr>
        <w:t xml:space="preserve"> נקבע שככלל אין למשטרה חובת זהירות כלפי מי שנפגע מעבריין,</w:t>
      </w:r>
      <w:r>
        <w:rPr>
          <w:rStyle w:val="FootnoteReference"/>
        </w:rPr>
        <w:footnoteReference w:id="182"/>
      </w:r>
      <w:r>
        <w:rPr>
          <w:rFonts w:ascii="David" w:cs="David" w:eastAsia="David" w:hAnsi="David"/>
          <w:noProof/>
          <w:sz w:val="24"/>
          <w:szCs w:val="24"/>
          <w:rtl/>
          <w:lang w:bidi="he-IL"/>
        </w:rPr>
        <w:t xml:space="preserve"> אך בעניין </w:t>
      </w:r>
      <w:r>
        <w:rPr>
          <w:rFonts w:ascii="David" w:cs="David" w:eastAsia="David" w:hAnsi="David"/>
          <w:i/>
          <w:iCs/>
          <w:noProof/>
          <w:sz w:val="24"/>
          <w:szCs w:val="24"/>
          <w:rtl w:val="false"/>
          <w:lang w:val="en-US" w:bidi="he-IL"/>
        </w:rPr>
        <w:t xml:space="preserve">DSD‎</w:t>
      </w:r>
      <w:r>
        <w:rPr>
          <w:rFonts w:ascii="David" w:cs="David" w:eastAsia="David" w:hAnsi="David"/>
          <w:noProof/>
          <w:sz w:val="24"/>
          <w:szCs w:val="24"/>
          <w:rtl/>
          <w:lang w:bidi="he-IL"/>
        </w:rPr>
        <w:t xml:space="preserve"> נקבע שכשלים מבצעיים חמורים בחקירה מפרים את חובת החקירה מכוח חוק זכויות האדם.</w:t>
      </w:r>
      <w:r>
        <w:rPr>
          <w:rStyle w:val="FootnoteReference"/>
        </w:rPr>
        <w:footnoteReference w:id="183"/>
      </w:r>
    </w:p>
    <w:p>
      <w:pPr>
        <w:pStyle w:val="Heading2"/>
        <w:bidi/>
        <w:spacing w:after="160" w:before="240"/>
        <w:jc w:val="right"/>
      </w:pPr>
      <w:r>
        <w:rPr>
          <w:rFonts w:ascii="David" w:cs="David" w:eastAsia="David" w:hAnsi="David"/>
          <w:b/>
          <w:bCs/>
          <w:noProof/>
          <w:sz w:val="28"/>
          <w:szCs w:val="28"/>
          <w:rtl/>
          <w:lang w:bidi="he-IL"/>
        </w:rPr>
        <w:t xml:space="preserve">6.4 מסקנות ההשוואה והשלכותיהן על רפורמת אמו"ן</w:t>
      </w:r>
    </w:p>
    <w:p>
      <w:pPr>
        <w:bidi/>
        <w:spacing w:after="120" w:line="360"/>
        <w:ind w:firstLine="0"/>
        <w:jc w:val="both"/>
      </w:pPr>
      <w:r>
        <w:rPr>
          <w:rFonts w:ascii="David" w:cs="David" w:eastAsia="David" w:hAnsi="David"/>
          <w:noProof/>
          <w:sz w:val="24"/>
          <w:szCs w:val="24"/>
          <w:rtl/>
          <w:lang w:bidi="he-I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w:t>
      </w:r>
      <w:r>
        <w:rPr>
          <w:rStyle w:val="FootnoteReference"/>
        </w:rPr>
        <w:footnoteReference w:id="184"/>
      </w:r>
      <w:r>
        <w:rPr>
          <w:rFonts w:ascii="David" w:cs="David" w:eastAsia="David" w:hAnsi="David"/>
          <w:noProof/>
          <w:sz w:val="24"/>
          <w:szCs w:val="24"/>
          <w:rtl/>
          <w:lang w:bidi="he-I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5"/>
      </w:r>
      <w:r>
        <w:rPr>
          <w:rFonts w:ascii="David" w:cs="David" w:eastAsia="David" w:hAnsi="David"/>
          <w:noProof/>
          <w:sz w:val="24"/>
          <w:szCs w:val="24"/>
          <w:rtl/>
          <w:lang w:bidi="he-I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6"/>
      </w:r>
      <w:r>
        <w:rPr>
          <w:rFonts w:ascii="David" w:cs="David" w:eastAsia="David" w:hAnsi="David"/>
          <w:noProof/>
          <w:sz w:val="24"/>
          <w:szCs w:val="24"/>
          <w:rtl/>
          <w:lang w:bidi="he-IL"/>
        </w:rPr>
        <w:t xml:space="preserve"> אך היא יכולה לשמש בסיס להרחבה כזו.</w:t>
      </w:r>
    </w:p>
    <w:p>
      <w:pPr>
        <w:bidi/>
        <w:spacing w:after="120" w:line="360"/>
        <w:ind w:firstLine="0"/>
        <w:jc w:val="both"/>
      </w:pPr>
      <w:r>
        <w:rPr>
          <w:rFonts w:ascii="David" w:cs="David" w:eastAsia="David" w:hAnsi="David"/>
          <w:noProof/>
          <w:sz w:val="24"/>
          <w:szCs w:val="24"/>
          <w:rtl/>
          <w:lang w:bidi="he-IL"/>
        </w:rPr>
        <w:t xml:space="preserve">בשאלת ההגנה החסרה, בישראל קיימת מגמה של אחריות נזיקית רחבה יותר של רשויות,</w:t>
      </w:r>
      <w:r>
        <w:rPr>
          <w:rStyle w:val="FootnoteReference"/>
        </w:rPr>
        <w:footnoteReference w:id="187"/>
      </w:r>
      <w:r>
        <w:rPr>
          <w:rFonts w:ascii="David" w:cs="David" w:eastAsia="David" w:hAnsi="David"/>
          <w:noProof/>
          <w:sz w:val="24"/>
          <w:szCs w:val="24"/>
          <w:rtl/>
          <w:lang w:bidi="he-IL"/>
        </w:rPr>
        <w:t xml:space="preserve"> אם כי גם כאן מבחינה הפסיקה בין קביעת סדרי עדיפויות לבין ביצוע פעולה מסוימת.</w:t>
      </w:r>
      <w:r>
        <w:rPr>
          <w:rStyle w:val="FootnoteReference"/>
        </w:rPr>
        <w:footnoteReference w:id="188"/>
      </w:r>
      <w:r>
        <w:rPr>
          <w:rFonts w:ascii="David" w:cs="David" w:eastAsia="David" w:hAnsi="David"/>
          <w:noProof/>
          <w:sz w:val="24"/>
          <w:szCs w:val="24"/>
          <w:rtl/>
          <w:lang w:bidi="he-IL"/>
        </w:rPr>
        <w:t xml:space="preserve"> סעיף 3 לחוק הנזיקים האזרחיים (אחריות המדינה) מוציא את הרשלנות מן החסינות,</w:t>
      </w:r>
      <w:r>
        <w:rPr>
          <w:rStyle w:val="FootnoteReference"/>
        </w:rPr>
        <w:footnoteReference w:id="189"/>
      </w:r>
      <w:r>
        <w:rPr>
          <w:rFonts w:ascii="David" w:cs="David" w:eastAsia="David" w:hAnsi="David"/>
          <w:noProof/>
          <w:sz w:val="24"/>
          <w:szCs w:val="24"/>
          <w:rtl/>
          <w:lang w:bidi="he-IL"/>
        </w:rPr>
        <w:t xml:space="preserve"> אך בקטגוריה של אי-מניעת נזק שגרם אחר רוב פסקי הדין לא הטילו אחריות, כמו בעניין </w:t>
      </w:r>
      <w:r>
        <w:rPr>
          <w:rFonts w:ascii="David" w:cs="David" w:eastAsia="David" w:hAnsi="David"/>
          <w:b/>
          <w:bCs/>
          <w:noProof/>
          <w:sz w:val="24"/>
          <w:szCs w:val="24"/>
          <w:rtl/>
          <w:lang w:bidi="he-IL"/>
        </w:rPr>
        <w:t xml:space="preserve">פלונים</w:t>
      </w:r>
      <w:r>
        <w:rPr>
          <w:rFonts w:ascii="David" w:cs="David" w:eastAsia="David" w:hAnsi="David"/>
          <w:noProof/>
          <w:sz w:val="24"/>
          <w:szCs w:val="24"/>
          <w:rtl/>
          <w:lang w:bidi="he-IL"/>
        </w:rPr>
        <w:t xml:space="preserve">.</w:t>
      </w:r>
      <w:r>
        <w:rPr>
          <w:rStyle w:val="FootnoteReference"/>
        </w:rPr>
        <w:footnoteReference w:id="190"/>
      </w:r>
      <w:r>
        <w:rPr>
          <w:rFonts w:ascii="David" w:cs="David" w:eastAsia="David" w:hAnsi="David"/>
          <w:noProof/>
          <w:sz w:val="24"/>
          <w:szCs w:val="24"/>
          <w:rtl/>
          <w:lang w:bidi="he-I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1"/>
      </w:r>
      <w:r>
        <w:rPr>
          <w:rFonts w:ascii="David" w:cs="David" w:eastAsia="David" w:hAnsi="David"/>
          <w:noProof/>
          <w:sz w:val="24"/>
          <w:szCs w:val="24"/>
          <w:rtl/>
          <w:lang w:bidi="he-IL"/>
        </w:rPr>
        <w:t xml:space="preserve"> ודרומי מגיע למסקנה דומה לגבי המונופול של המשטרה על הכוח במרחב הציבורי.</w:t>
      </w:r>
      <w:r>
        <w:rPr>
          <w:rStyle w:val="FootnoteReference"/>
        </w:rPr>
        <w:footnoteReference w:id="192"/>
      </w:r>
      <w:r>
        <w:rPr>
          <w:rFonts w:ascii="David" w:cs="David" w:eastAsia="David" w:hAnsi="David"/>
          <w:noProof/>
          <w:sz w:val="24"/>
          <w:szCs w:val="24"/>
          <w:rtl/>
          <w:lang w:bidi="he-IL"/>
        </w:rPr>
        <w:t xml:space="preserve"> בצד שיטור היתר, עיכוב בלי סמכות כדין הוא פגיעה פיזית בחירות,</w:t>
      </w:r>
      <w:r>
        <w:rPr>
          <w:rStyle w:val="FootnoteReference"/>
        </w:rPr>
        <w:footnoteReference w:id="193"/>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בוסקילה</w:t>
      </w:r>
      <w:r>
        <w:rPr>
          <w:rFonts w:ascii="David" w:cs="David" w:eastAsia="David" w:hAnsi="David"/>
          <w:noProof/>
          <w:sz w:val="24"/>
          <w:szCs w:val="24"/>
          <w:rtl/>
          <w:lang w:bidi="he-IL"/>
        </w:rPr>
        <w:t xml:space="preserve"> נפסק פיצוי על מעצר שלא כדין ועל פגיעה בקניין ובחופש התנועה.</w:t>
      </w:r>
      <w:r>
        <w:rPr>
          <w:rStyle w:val="FootnoteReference"/>
        </w:rPr>
        <w:footnoteReference w:id="194"/>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פדידה</w:t>
      </w:r>
      <w:r>
        <w:rPr>
          <w:rFonts w:ascii="David" w:cs="David" w:eastAsia="David" w:hAnsi="David"/>
          <w:noProof/>
          <w:sz w:val="24"/>
          <w:szCs w:val="24"/>
          <w:rtl/>
          <w:lang w:bidi="he-IL"/>
        </w:rPr>
        <w:t xml:space="preserve"> הזכירה השופטת וילנר שלאיזון שנקבע לא יהיה ערך "אם יישאר כאיזון תיאורטי, הקיים 'על הנייר בלבד'".</w:t>
      </w:r>
      <w:r>
        <w:rPr>
          <w:rStyle w:val="FootnoteReference"/>
        </w:rPr>
        <w:footnoteReference w:id="195"/>
      </w:r>
      <w:r>
        <w:rPr>
          <w:rFonts w:ascii="David" w:cs="David" w:eastAsia="David" w:hAnsi="David"/>
          <w:noProof/>
          <w:sz w:val="24"/>
          <w:szCs w:val="24"/>
          <w:rtl/>
          <w:lang w:bidi="he-I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6"/>
      </w:r>
      <w:r>
        <w:rPr>
          <w:rFonts w:ascii="David" w:cs="David" w:eastAsia="David" w:hAnsi="David"/>
          <w:noProof/>
          <w:sz w:val="24"/>
          <w:szCs w:val="24"/>
          <w:rtl/>
          <w:lang w:bidi="he-IL"/>
        </w:rPr>
        <w:t xml:space="preserve"> וגם עשרות שנים אחריו לא הוסברו עד הסוף הפערים בהפעלת הסמכויות.</w:t>
      </w:r>
      <w:r>
        <w:rPr>
          <w:rStyle w:val="FootnoteReference"/>
        </w:rPr>
        <w:footnoteReference w:id="197"/>
      </w:r>
      <w:r>
        <w:rPr>
          <w:rFonts w:ascii="David" w:cs="David" w:eastAsia="David" w:hAnsi="David"/>
          <w:noProof/>
          <w:sz w:val="24"/>
          <w:szCs w:val="24"/>
          <w:rtl/>
          <w:lang w:bidi="he-I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noProof/>
          <w:sz w:val="32"/>
          <w:szCs w:val="32"/>
          <w:rtl/>
          <w:lang w:bidi="he-IL"/>
        </w:rPr>
        <w:t xml:space="preserve">7. דיון: כשל במודל העקרוני או כשל ביישום?</w:t>
      </w:r>
    </w:p>
    <w:p>
      <w:pPr>
        <w:pStyle w:val="Heading2"/>
        <w:bidi/>
        <w:spacing w:after="160" w:before="240"/>
        <w:jc w:val="right"/>
      </w:pPr>
      <w:r>
        <w:rPr>
          <w:rFonts w:ascii="David" w:cs="David" w:eastAsia="David" w:hAnsi="David"/>
          <w:b/>
          <w:bCs/>
          <w:noProof/>
          <w:sz w:val="28"/>
          <w:szCs w:val="28"/>
          <w:rtl/>
          <w:lang w:bidi="he-IL"/>
        </w:rPr>
        <w:t xml:space="preserve">7.1 תוקפו של המודל העקרוני</w:t>
      </w:r>
    </w:p>
    <w:p>
      <w:pPr>
        <w:bidi/>
        <w:spacing w:after="120" w:line="360"/>
        <w:ind w:firstLine="0"/>
        <w:jc w:val="both"/>
      </w:pPr>
      <w:r>
        <w:rPr>
          <w:rFonts w:ascii="David" w:cs="David" w:eastAsia="David" w:hAnsi="David"/>
          <w:noProof/>
          <w:sz w:val="24"/>
          <w:szCs w:val="24"/>
          <w:rtl/>
          <w:lang w:bidi="he-I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noProof/>
          <w:sz w:val="24"/>
          <w:szCs w:val="24"/>
          <w:rtl/>
          <w:lang w:bidi="he-I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8"/>
      </w:r>
      <w:r>
        <w:rPr>
          <w:rFonts w:ascii="David" w:cs="David" w:eastAsia="David" w:hAnsi="David"/>
          <w:noProof/>
          <w:sz w:val="24"/>
          <w:szCs w:val="24"/>
          <w:rtl/>
          <w:lang w:bidi="he-IL"/>
        </w:rPr>
        <w:t xml:space="preserve"> וגם שיטור נקודות חמות והרתעה ממוקדת נמצאו יעילים.</w:t>
      </w:r>
      <w:r>
        <w:rPr>
          <w:rStyle w:val="FootnoteReference"/>
        </w:rPr>
        <w:footnoteReference w:id="199"/>
      </w:r>
      <w:r>
        <w:rPr>
          <w:rFonts w:ascii="David" w:cs="David" w:eastAsia="David" w:hAnsi="David"/>
          <w:noProof/>
          <w:sz w:val="24"/>
          <w:szCs w:val="24"/>
          <w:rtl/>
          <w:lang w:bidi="he-IL"/>
        </w:rPr>
        <w:t xml:space="preserve"> בישראל הושגו תוצאות חיוביות בסל הרכוש,</w:t>
      </w:r>
      <w:r>
        <w:rPr>
          <w:rStyle w:val="FootnoteReference"/>
        </w:rPr>
        <w:footnoteReference w:id="200"/>
      </w:r>
      <w:r>
        <w:rPr>
          <w:rFonts w:ascii="David" w:cs="David" w:eastAsia="David" w:hAnsi="David"/>
          <w:noProof/>
          <w:sz w:val="24"/>
          <w:szCs w:val="24"/>
          <w:rtl/>
          <w:lang w:bidi="he-IL"/>
        </w:rPr>
        <w:t xml:space="preserve"> והחוקרים עצמם ייחסו את הכישלונות בסלי האלימות והירי ליישום חלקי ולתוכניות שאינן שלמות.</w:t>
      </w:r>
      <w:r>
        <w:rPr>
          <w:rStyle w:val="FootnoteReference"/>
        </w:rPr>
        <w:footnoteReference w:id="201"/>
      </w:r>
      <w:r>
        <w:rPr>
          <w:rFonts w:ascii="David" w:cs="David" w:eastAsia="David" w:hAnsi="David"/>
          <w:noProof/>
          <w:sz w:val="24"/>
          <w:szCs w:val="24"/>
          <w:rtl/>
          <w:lang w:bidi="he-I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noProof/>
          <w:sz w:val="24"/>
          <w:szCs w:val="24"/>
          <w:rtl/>
          <w:lang w:bidi="he-I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2"/>
      </w:r>
      <w:r>
        <w:rPr>
          <w:rFonts w:ascii="David" w:cs="David" w:eastAsia="David" w:hAnsi="David"/>
          <w:noProof/>
          <w:sz w:val="24"/>
          <w:szCs w:val="24"/>
          <w:rtl/>
          <w:lang w:bidi="he-I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3"/>
      </w:r>
      <w:r>
        <w:rPr>
          <w:rFonts w:ascii="David" w:cs="David" w:eastAsia="David" w:hAnsi="David"/>
          <w:noProof/>
          <w:sz w:val="24"/>
          <w:szCs w:val="24"/>
          <w:rtl/>
          <w:lang w:bidi="he-I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noProof/>
          <w:sz w:val="24"/>
          <w:szCs w:val="24"/>
          <w:rtl/>
          <w:lang w:bidi="he-I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4"/>
      </w:r>
      <w:r>
        <w:rPr>
          <w:rFonts w:ascii="David" w:cs="David" w:eastAsia="David" w:hAnsi="David"/>
          <w:noProof/>
          <w:sz w:val="24"/>
          <w:szCs w:val="24"/>
          <w:rtl/>
          <w:lang w:bidi="he-I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5"/>
      </w:r>
    </w:p>
    <w:p>
      <w:pPr>
        <w:pStyle w:val="Heading2"/>
        <w:bidi/>
        <w:spacing w:after="160" w:before="240"/>
        <w:jc w:val="right"/>
      </w:pPr>
      <w:r>
        <w:rPr>
          <w:rFonts w:ascii="David" w:cs="David" w:eastAsia="David" w:hAnsi="David"/>
          <w:b/>
          <w:bCs/>
          <w:noProof/>
          <w:sz w:val="28"/>
          <w:szCs w:val="28"/>
          <w:rtl/>
          <w:lang w:bidi="he-IL"/>
        </w:rPr>
        <w:t xml:space="preserve">7.2 כשלי היישום בשלבי הסריקה, הניתוח, התגובה וההערכה</w:t>
      </w:r>
    </w:p>
    <w:p>
      <w:pPr>
        <w:bidi/>
        <w:spacing w:after="120" w:line="360"/>
        <w:ind w:firstLine="0"/>
        <w:jc w:val="both"/>
      </w:pPr>
      <w:r>
        <w:rPr>
          <w:rFonts w:ascii="David" w:cs="David" w:eastAsia="David" w:hAnsi="David"/>
          <w:noProof/>
          <w:sz w:val="24"/>
          <w:szCs w:val="24"/>
          <w:rtl/>
          <w:lang w:bidi="he-I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6"/>
      </w:r>
      <w:r>
        <w:rPr>
          <w:rFonts w:ascii="David" w:cs="David" w:eastAsia="David" w:hAnsi="David"/>
          <w:noProof/>
          <w:sz w:val="24"/>
          <w:szCs w:val="24"/>
          <w:rtl/>
          <w:lang w:bidi="he-IL"/>
        </w:rPr>
        <w:t xml:space="preserve"> בניגוד לדרישה של אק וספלמן להתמקד בבעיות מוגדרות.</w:t>
      </w:r>
      <w:r>
        <w:rPr>
          <w:rStyle w:val="FootnoteReference"/>
        </w:rPr>
        <w:footnoteReference w:id="207"/>
      </w:r>
      <w:r>
        <w:rPr>
          <w:rFonts w:ascii="David" w:cs="David" w:eastAsia="David" w:hAnsi="David"/>
          <w:noProof/>
          <w:sz w:val="24"/>
          <w:szCs w:val="24"/>
          <w:rtl/>
          <w:lang w:bidi="he-IL"/>
        </w:rPr>
        <w:t xml:space="preserve"> בשלב הניתוח נחסם המיקוד המרחבי ביישובים ערביים בגלל מגבלה בתשתית המידע.</w:t>
      </w:r>
      <w:r>
        <w:rPr>
          <w:rStyle w:val="FootnoteReference"/>
        </w:rPr>
        <w:footnoteReference w:id="208"/>
      </w:r>
      <w:r>
        <w:rPr>
          <w:rFonts w:ascii="David" w:cs="David" w:eastAsia="David" w:hAnsi="David"/>
          <w:noProof/>
          <w:sz w:val="24"/>
          <w:szCs w:val="24"/>
          <w:rtl/>
          <w:lang w:bidi="he-I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9"/>
      </w:r>
      <w:r>
        <w:rPr>
          <w:rFonts w:ascii="David" w:cs="David" w:eastAsia="David" w:hAnsi="David"/>
          <w:noProof/>
          <w:sz w:val="24"/>
          <w:szCs w:val="24"/>
          <w:rtl/>
          <w:lang w:bidi="he-IL"/>
        </w:rPr>
        <w:t xml:space="preserve"> אף שהרכיב הקהילתי הוא יסוד של התוכנית.</w:t>
      </w:r>
      <w:r>
        <w:rPr>
          <w:rStyle w:val="FootnoteReference"/>
        </w:rPr>
        <w:footnoteReference w:id="210"/>
      </w:r>
      <w:r>
        <w:rPr>
          <w:rFonts w:ascii="David" w:cs="David" w:eastAsia="David" w:hAnsi="David"/>
          <w:noProof/>
          <w:sz w:val="24"/>
          <w:szCs w:val="24"/>
          <w:rtl/>
          <w:lang w:bidi="he-IL"/>
        </w:rPr>
        <w:t xml:space="preserve"> בשלב ההערכה לא נמצא מתאם בין ציון ביצוע התוכנית לבין ירידה בפשיעה,</w:t>
      </w:r>
      <w:r>
        <w:rPr>
          <w:rStyle w:val="FootnoteReference"/>
        </w:rPr>
        <w:footnoteReference w:id="211"/>
      </w:r>
      <w:r>
        <w:rPr>
          <w:rFonts w:ascii="David" w:cs="David" w:eastAsia="David" w:hAnsi="David"/>
          <w:noProof/>
          <w:sz w:val="24"/>
          <w:szCs w:val="24"/>
          <w:rtl/>
          <w:lang w:bidi="he-IL"/>
        </w:rPr>
        <w:t xml:space="preserve"> כלומר רפורמה שהתחייבה למדוד תוצאות מדדה בפועל תפוקות.</w:t>
      </w:r>
    </w:p>
    <w:p>
      <w:pPr>
        <w:bidi/>
        <w:spacing w:after="120" w:line="360"/>
        <w:ind w:firstLine="0"/>
        <w:jc w:val="both"/>
      </w:pPr>
      <w:r>
        <w:rPr>
          <w:rFonts w:ascii="David" w:cs="David" w:eastAsia="David" w:hAnsi="David"/>
          <w:noProof/>
          <w:sz w:val="24"/>
          <w:szCs w:val="24"/>
          <w:rtl/>
          <w:lang w:bidi="he-IL"/>
        </w:rPr>
        <w:t xml:space="preserve">מחסור במשאבים חוצה את כל הכשלים: בסל הרכוש לא נמצא שיפור בתחנה הדלה במשאבים,</w:t>
      </w:r>
      <w:r>
        <w:rPr>
          <w:rStyle w:val="FootnoteReference"/>
        </w:rPr>
        <w:footnoteReference w:id="212"/>
      </w:r>
      <w:r>
        <w:rPr>
          <w:rFonts w:ascii="David" w:cs="David" w:eastAsia="David" w:hAnsi="David"/>
          <w:noProof/>
          <w:sz w:val="24"/>
          <w:szCs w:val="24"/>
          <w:rtl/>
          <w:lang w:bidi="he-IL"/>
        </w:rPr>
        <w:t xml:space="preserve"> ובסל הירי דיווחו התחנות על פער בין המשאבים לבין היקף הבעיה.</w:t>
      </w:r>
      <w:r>
        <w:rPr>
          <w:rStyle w:val="FootnoteReference"/>
        </w:rPr>
        <w:footnoteReference w:id="213"/>
      </w:r>
      <w:r>
        <w:rPr>
          <w:rFonts w:ascii="David" w:cs="David" w:eastAsia="David" w:hAnsi="David"/>
          <w:noProof/>
          <w:sz w:val="24"/>
          <w:szCs w:val="24"/>
          <w:rtl/>
          <w:lang w:bidi="he-IL"/>
        </w:rPr>
        <w:t xml:space="preserve"> מבקר המדינה מצא את אותו פער בין המערכים המבצעיים לבין מספר החוקרים.</w:t>
      </w:r>
      <w:r>
        <w:rPr>
          <w:rStyle w:val="FootnoteReference"/>
        </w:rPr>
        <w:footnoteReference w:id="214"/>
      </w:r>
      <w:r>
        <w:rPr>
          <w:rFonts w:ascii="David" w:cs="David" w:eastAsia="David" w:hAnsi="David"/>
          <w:noProof/>
          <w:sz w:val="24"/>
          <w:szCs w:val="24"/>
          <w:rtl/>
          <w:lang w:bidi="he-IL"/>
        </w:rPr>
        <w:t xml:space="preserve"> פדן מציין שעל אף התפיסה הכוללת של אמו"ן, לא נבנתה בפרקליטות תוכנית מקבילה, ושיתופי הפעולה בין הגופים נמשכו רק בהקשרים של תיקים ופרשות מסוימים.</w:t>
      </w:r>
      <w:r>
        <w:rPr>
          <w:rStyle w:val="FootnoteReference"/>
        </w:rPr>
        <w:footnoteReference w:id="215"/>
      </w:r>
      <w:r>
        <w:rPr>
          <w:rFonts w:ascii="David" w:cs="David" w:eastAsia="David" w:hAnsi="David"/>
          <w:noProof/>
          <w:sz w:val="24"/>
          <w:szCs w:val="24"/>
          <w:rtl/>
          <w:lang w:bidi="he-I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noProof/>
          <w:sz w:val="24"/>
          <w:szCs w:val="24"/>
          <w:rtl/>
          <w:lang w:bidi="he-I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6"/>
      </w:r>
      <w:r>
        <w:rPr>
          <w:rFonts w:ascii="David" w:cs="David" w:eastAsia="David" w:hAnsi="David"/>
          <w:noProof/>
          <w:sz w:val="24"/>
          <w:szCs w:val="24"/>
          <w:rtl/>
          <w:lang w:bidi="he-I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noProof/>
          <w:sz w:val="28"/>
          <w:szCs w:val="28"/>
          <w:rtl/>
          <w:lang w:bidi="he-IL"/>
        </w:rPr>
        <w:t xml:space="preserve">7.3 הפער בין מדדי פעילות, הפחתת עבריינות ואיכות האכיפה</w:t>
      </w:r>
    </w:p>
    <w:p>
      <w:pPr>
        <w:bidi/>
        <w:spacing w:after="120" w:line="360"/>
        <w:ind w:firstLine="0"/>
        <w:jc w:val="both"/>
      </w:pPr>
      <w:r>
        <w:rPr>
          <w:rFonts w:ascii="David" w:cs="David" w:eastAsia="David" w:hAnsi="David"/>
          <w:noProof/>
          <w:sz w:val="24"/>
          <w:szCs w:val="24"/>
          <w:rtl/>
          <w:lang w:bidi="he-IL"/>
        </w:rPr>
        <w:t xml:space="preserve">עלייה במעצרים אינה מעידה בהכרח על עלייה בעבריינות,</w:t>
      </w:r>
      <w:r>
        <w:rPr>
          <w:rStyle w:val="FootnoteReference"/>
        </w:rPr>
        <w:footnoteReference w:id="217"/>
      </w:r>
      <w:r>
        <w:rPr>
          <w:rFonts w:ascii="David" w:cs="David" w:eastAsia="David" w:hAnsi="David"/>
          <w:noProof/>
          <w:sz w:val="24"/>
          <w:szCs w:val="24"/>
          <w:rtl/>
          <w:lang w:bidi="he-I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8"/>
      </w:r>
      <w:r>
        <w:rPr>
          <w:rFonts w:ascii="David" w:cs="David" w:eastAsia="David" w:hAnsi="David"/>
          <w:noProof/>
          <w:sz w:val="24"/>
          <w:szCs w:val="24"/>
          <w:rtl/>
          <w:lang w:bidi="he-IL"/>
        </w:rPr>
        <w:t xml:space="preserve"> והכלי שהציע מסמך הכנסת, השוואה של שיעור ההמרה ממעצר ומתיק לכתב אישום בין קבוצות,</w:t>
      </w:r>
      <w:r>
        <w:rPr>
          <w:rStyle w:val="FootnoteReference"/>
        </w:rPr>
        <w:footnoteReference w:id="219"/>
      </w:r>
      <w:r>
        <w:rPr>
          <w:rFonts w:ascii="David" w:cs="David" w:eastAsia="David" w:hAnsi="David"/>
          <w:noProof/>
          <w:sz w:val="24"/>
          <w:szCs w:val="24"/>
          <w:rtl/>
          <w:lang w:bidi="he-I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noProof/>
          <w:sz w:val="24"/>
          <w:szCs w:val="24"/>
          <w:rtl/>
          <w:lang w:bidi="he-I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20"/>
      </w:r>
      <w:r>
        <w:rPr>
          <w:rFonts w:ascii="David" w:cs="David" w:eastAsia="David" w:hAnsi="David"/>
          <w:noProof/>
          <w:sz w:val="24"/>
          <w:szCs w:val="24"/>
          <w:rtl/>
          <w:lang w:bidi="he-IL"/>
        </w:rPr>
        <w:t xml:space="preserve"> ואכן הביקורת הפנימית על אמו"ן חזרה על אותה אזהרה.</w:t>
      </w:r>
      <w:r>
        <w:rPr>
          <w:rStyle w:val="FootnoteReference"/>
        </w:rPr>
        <w:footnoteReference w:id="221"/>
      </w:r>
      <w:r>
        <w:rPr>
          <w:rFonts w:ascii="David" w:cs="David" w:eastAsia="David" w:hAnsi="David"/>
          <w:noProof/>
          <w:sz w:val="24"/>
          <w:szCs w:val="24"/>
          <w:rtl/>
          <w:lang w:bidi="he-I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2"/>
      </w:r>
      <w:r>
        <w:rPr>
          <w:rFonts w:ascii="David" w:cs="David" w:eastAsia="David" w:hAnsi="David"/>
          <w:noProof/>
          <w:sz w:val="24"/>
          <w:szCs w:val="24"/>
          <w:rtl/>
          <w:lang w:bidi="he-IL"/>
        </w:rPr>
        <w:t xml:space="preserve"> תיקי החשיפה, שבהם נרשמו לא יהודים ב-50% מן התיקים נגד צעירים בשנת 2023,</w:t>
      </w:r>
      <w:r>
        <w:rPr>
          <w:rStyle w:val="FootnoteReference"/>
        </w:rPr>
        <w:footnoteReference w:id="223"/>
      </w:r>
      <w:r>
        <w:rPr>
          <w:rFonts w:ascii="David" w:cs="David" w:eastAsia="David" w:hAnsi="David"/>
          <w:noProof/>
          <w:sz w:val="24"/>
          <w:szCs w:val="24"/>
          <w:rtl/>
          <w:lang w:bidi="he-I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4"/>
      </w:r>
      <w:r>
        <w:rPr>
          <w:rFonts w:ascii="David" w:cs="David" w:eastAsia="David" w:hAnsi="David"/>
          <w:noProof/>
          <w:sz w:val="24"/>
          <w:szCs w:val="24"/>
          <w:rtl/>
          <w:lang w:bidi="he-IL"/>
        </w:rPr>
        <w:t xml:space="preserve"> ומדד כזה יכול להיות חלק מהם.</w:t>
      </w:r>
    </w:p>
    <w:p>
      <w:pPr>
        <w:bidi/>
        <w:spacing w:after="120" w:line="360"/>
        <w:ind w:firstLine="0"/>
        <w:jc w:val="both"/>
      </w:pPr>
      <w:r>
        <w:rPr>
          <w:rFonts w:ascii="David" w:cs="David" w:eastAsia="David" w:hAnsi="David"/>
          <w:noProof/>
          <w:sz w:val="24"/>
          <w:szCs w:val="24"/>
          <w:rtl/>
          <w:lang w:bidi="he-I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noProof/>
          <w:sz w:val="28"/>
          <w:szCs w:val="28"/>
          <w:rtl/>
          <w:lang w:bidi="he-IL"/>
        </w:rPr>
        <w:t xml:space="preserve">7.4 הבניית שיקול הדעת כתנאי לאפקטיביות הרפורמה</w:t>
      </w:r>
    </w:p>
    <w:p>
      <w:pPr>
        <w:bidi/>
        <w:spacing w:after="120" w:line="360"/>
        <w:ind w:firstLine="0"/>
        <w:jc w:val="both"/>
      </w:pPr>
      <w:r>
        <w:rPr>
          <w:rFonts w:ascii="David" w:cs="David" w:eastAsia="David" w:hAnsi="David"/>
          <w:noProof/>
          <w:sz w:val="24"/>
          <w:szCs w:val="24"/>
          <w:rtl/>
          <w:lang w:bidi="he-I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5"/>
      </w:r>
      <w:r>
        <w:rPr>
          <w:rFonts w:ascii="David" w:cs="David" w:eastAsia="David" w:hAnsi="David"/>
          <w:noProof/>
          <w:sz w:val="24"/>
          <w:szCs w:val="24"/>
          <w:rtl/>
          <w:lang w:bidi="he-I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6"/>
      </w:r>
    </w:p>
    <w:p>
      <w:pPr>
        <w:bidi/>
        <w:spacing w:after="120" w:line="360"/>
        <w:ind w:firstLine="0"/>
        <w:jc w:val="both"/>
      </w:pPr>
      <w:r>
        <w:rPr>
          <w:rFonts w:ascii="David" w:cs="David" w:eastAsia="David" w:hAnsi="David"/>
          <w:noProof/>
          <w:sz w:val="24"/>
          <w:szCs w:val="24"/>
          <w:rtl/>
          <w:lang w:bidi="he-IL"/>
        </w:rPr>
        <w:t xml:space="preserve">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7"/>
      </w:r>
      <w:r>
        <w:rPr>
          <w:rFonts w:ascii="David" w:cs="David" w:eastAsia="David" w:hAnsi="David"/>
          <w:noProof/>
          <w:sz w:val="24"/>
          <w:szCs w:val="24"/>
          <w:rtl/>
          <w:lang w:bidi="he-I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noProof/>
          <w:sz w:val="24"/>
          <w:szCs w:val="24"/>
          <w:rtl/>
          <w:lang w:bidi="he-I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8"/>
      </w:r>
      <w:r>
        <w:rPr>
          <w:rFonts w:ascii="David" w:cs="David" w:eastAsia="David" w:hAnsi="David"/>
          <w:noProof/>
          <w:sz w:val="24"/>
          <w:szCs w:val="24"/>
          <w:rtl/>
          <w:lang w:bidi="he-IL"/>
        </w:rPr>
        <w:t xml:space="preserve"> ההשוואה מספקת תבנית: איסור מפורש לבסס חשד על מאפיינים אישיים כהוראת עבודה,</w:t>
      </w:r>
      <w:r>
        <w:rPr>
          <w:rStyle w:val="FootnoteReference"/>
        </w:rPr>
        <w:footnoteReference w:id="229"/>
      </w:r>
      <w:r>
        <w:rPr>
          <w:rFonts w:ascii="David" w:cs="David" w:eastAsia="David" w:hAnsi="David"/>
          <w:noProof/>
          <w:sz w:val="24"/>
          <w:szCs w:val="24"/>
          <w:rtl/>
          <w:lang w:bidi="he-IL"/>
        </w:rPr>
        <w:t xml:space="preserve"> תיעוד של סיבת העיכוב, תוצאתו והזהות האתנית,</w:t>
      </w:r>
      <w:r>
        <w:rPr>
          <w:rStyle w:val="FootnoteReference"/>
        </w:rPr>
        <w:footnoteReference w:id="230"/>
      </w:r>
      <w:r>
        <w:rPr>
          <w:rFonts w:ascii="David" w:cs="David" w:eastAsia="David" w:hAnsi="David"/>
          <w:noProof/>
          <w:sz w:val="24"/>
          <w:szCs w:val="24"/>
          <w:rtl/>
          <w:lang w:bidi="he-IL"/>
        </w:rPr>
        <w:t xml:space="preserve"> ובדיקה של הרישומים לאיתור דפוסים.</w:t>
      </w:r>
      <w:r>
        <w:rPr>
          <w:rStyle w:val="FootnoteReference"/>
        </w:rPr>
        <w:footnoteReference w:id="231"/>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Roberts‎</w:t>
      </w:r>
      <w:r>
        <w:rPr>
          <w:rFonts w:ascii="David" w:cs="David" w:eastAsia="David" w:hAnsi="David"/>
          <w:noProof/>
          <w:sz w:val="24"/>
          <w:szCs w:val="24"/>
          <w:rtl/>
          <w:lang w:bidi="he-I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2"/>
      </w:r>
      <w:r>
        <w:rPr>
          <w:rFonts w:ascii="David" w:cs="David" w:eastAsia="David" w:hAnsi="David"/>
          <w:noProof/>
          <w:sz w:val="24"/>
          <w:szCs w:val="24"/>
          <w:rtl/>
          <w:lang w:bidi="he-IL"/>
        </w:rPr>
        <w:t xml:space="preserve"> אפשר להוסיף למערכת הקיימת של אמו"ן שדות שמתעדים מפגשים יזומים, את עילתם ואת תוצאותיהם,</w:t>
      </w:r>
      <w:r>
        <w:rPr>
          <w:rStyle w:val="FootnoteReference"/>
        </w:rPr>
        <w:footnoteReference w:id="233"/>
      </w:r>
      <w:r>
        <w:rPr>
          <w:rFonts w:ascii="David" w:cs="David" w:eastAsia="David" w:hAnsi="David"/>
          <w:noProof/>
          <w:sz w:val="24"/>
          <w:szCs w:val="24"/>
          <w:rtl/>
          <w:lang w:bidi="he-IL"/>
        </w:rPr>
        <w:t xml:space="preserve"> ולשקול גם מצלמות גוף, שבמחקרים נמצאו מפחיתות הפעלת כוח ותלונות.</w:t>
      </w:r>
      <w:r>
        <w:rPr>
          <w:rStyle w:val="FootnoteReference"/>
        </w:rPr>
        <w:footnoteReference w:id="234"/>
      </w:r>
      <w:r>
        <w:rPr>
          <w:rFonts w:ascii="David" w:cs="David" w:eastAsia="David" w:hAnsi="David"/>
          <w:noProof/>
          <w:sz w:val="24"/>
          <w:szCs w:val="24"/>
          <w:rtl/>
          <w:lang w:bidi="he-I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5"/>
      </w:r>
      <w:r>
        <w:rPr>
          <w:rFonts w:ascii="David" w:cs="David" w:eastAsia="David" w:hAnsi="David"/>
          <w:noProof/>
          <w:sz w:val="24"/>
          <w:szCs w:val="24"/>
          <w:rtl/>
          <w:lang w:bidi="he-IL"/>
        </w:rPr>
        <w:t xml:space="preserve"> ומביא את אזהרתו של רואץ': "</w:t>
      </w:r>
      <w:r>
        <w:rPr>
          <w:rFonts w:ascii="David" w:cs="David" w:eastAsia="David" w:hAnsi="David"/>
          <w:noProof/>
          <w:sz w:val="24"/>
          <w:szCs w:val="24"/>
          <w:rtl w:val="false"/>
          <w:lang w:val="en-US" w:bidi="he-IL"/>
        </w:rPr>
        <w:t xml:space="preserve">A democracy that does not hold its police accountable can become a police state‎</w:t>
      </w:r>
      <w:r>
        <w:rPr>
          <w:rFonts w:ascii="David" w:cs="David" w:eastAsia="David" w:hAnsi="David"/>
          <w:noProof/>
          <w:sz w:val="24"/>
          <w:szCs w:val="24"/>
          <w:rtl/>
          <w:lang w:bidi="he-IL"/>
        </w:rPr>
        <w:t xml:space="preserve">".</w:t>
      </w:r>
      <w:r>
        <w:rPr>
          <w:rStyle w:val="FootnoteReference"/>
        </w:rPr>
        <w:footnoteReference w:id="236"/>
      </w:r>
      <w:r>
        <w:rPr>
          <w:rFonts w:ascii="David" w:cs="David" w:eastAsia="David" w:hAnsi="David"/>
          <w:noProof/>
          <w:sz w:val="24"/>
          <w:szCs w:val="24"/>
          <w:rtl/>
          <w:lang w:bidi="he-I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7"/>
      </w:r>
      <w:r>
        <w:rPr>
          <w:rFonts w:ascii="David" w:cs="David" w:eastAsia="David" w:hAnsi="David"/>
          <w:noProof/>
          <w:sz w:val="24"/>
          <w:szCs w:val="24"/>
          <w:rtl/>
          <w:lang w:bidi="he-IL"/>
        </w:rPr>
        <w:t xml:space="preserve"> לפני כן יש לבדוק מה כבר נאסף, מי רשאי לעיין במידע ואיך תוגן הפרטיות, ואם נדרשת הסדרה בחקיקה.</w:t>
      </w:r>
      <w:r>
        <w:rPr>
          <w:rStyle w:val="FootnoteReference"/>
        </w:rPr>
        <w:footnoteReference w:id="238"/>
      </w:r>
      <w:r>
        <w:rPr>
          <w:rFonts w:ascii="David" w:cs="David" w:eastAsia="David" w:hAnsi="David"/>
          <w:noProof/>
          <w:sz w:val="24"/>
          <w:szCs w:val="24"/>
          <w:rtl/>
          <w:lang w:bidi="he-I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9"/>
      </w:r>
    </w:p>
    <w:p>
      <w:pPr>
        <w:bidi/>
        <w:spacing w:after="120" w:line="360"/>
        <w:ind w:firstLine="0"/>
        <w:jc w:val="both"/>
      </w:pPr>
      <w:r>
        <w:rPr>
          <w:rFonts w:ascii="David" w:cs="David" w:eastAsia="David" w:hAnsi="David"/>
          <w:noProof/>
          <w:sz w:val="24"/>
          <w:szCs w:val="24"/>
          <w:rtl/>
          <w:lang w:bidi="he-IL"/>
        </w:rPr>
        <w:t xml:space="preserve">הבניית שיקול הדעת קשורה ישירות גם לשאלת האמון. אם הוגנות ההליכים היא המנבא החזק של הלגיטימיות,</w:t>
      </w:r>
      <w:r>
        <w:rPr>
          <w:rStyle w:val="FootnoteReference"/>
        </w:rPr>
        <w:footnoteReference w:id="240"/>
      </w:r>
      <w:r>
        <w:rPr>
          <w:rFonts w:ascii="David" w:cs="David" w:eastAsia="David" w:hAnsi="David"/>
          <w:noProof/>
          <w:sz w:val="24"/>
          <w:szCs w:val="24"/>
          <w:rtl/>
          <w:lang w:bidi="he-IL"/>
        </w:rPr>
        <w:t xml:space="preserve"> ואם מפגש שלילי אחד משפיע יותר ממפגשים חיוביים רבים,</w:t>
      </w:r>
      <w:r>
        <w:rPr>
          <w:rStyle w:val="FootnoteReference"/>
        </w:rPr>
        <w:footnoteReference w:id="241"/>
      </w:r>
      <w:r>
        <w:rPr>
          <w:rFonts w:ascii="David" w:cs="David" w:eastAsia="David" w:hAnsi="David"/>
          <w:noProof/>
          <w:sz w:val="24"/>
          <w:szCs w:val="24"/>
          <w:rtl/>
          <w:lang w:bidi="he-I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noProof/>
          <w:sz w:val="32"/>
          <w:szCs w:val="32"/>
          <w:rtl/>
          <w:lang w:bidi="he-IL"/>
        </w:rPr>
        <w:t xml:space="preserve">8. סיכום ומסקנות</w:t>
      </w:r>
    </w:p>
    <w:p>
      <w:pPr>
        <w:bidi/>
        <w:spacing w:after="120" w:line="360"/>
        <w:ind w:firstLine="0"/>
        <w:jc w:val="both"/>
      </w:pPr>
      <w:r>
        <w:rPr>
          <w:rFonts w:ascii="David" w:cs="David" w:eastAsia="David" w:hAnsi="David"/>
          <w:noProof/>
          <w:sz w:val="24"/>
          <w:szCs w:val="24"/>
          <w:rtl/>
          <w:lang w:bidi="he-I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noProof/>
          <w:sz w:val="24"/>
          <w:szCs w:val="24"/>
          <w:rtl/>
          <w:lang w:bidi="he-I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noProof/>
          <w:sz w:val="24"/>
          <w:szCs w:val="24"/>
          <w:rtl/>
          <w:lang w:bidi="he-I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noProof/>
          <w:sz w:val="24"/>
          <w:szCs w:val="24"/>
          <w:rtl/>
          <w:lang w:bidi="he-I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לתעד את המפגשים היזומים ואת התפלגותם בין קבוצות, על בסיס עקרונות קוד </w:t>
      </w:r>
      <w:r>
        <w:rPr>
          <w:rFonts w:ascii="David" w:cs="David" w:eastAsia="David" w:hAnsi="David"/>
          <w:noProof/>
          <w:sz w:val="24"/>
          <w:szCs w:val="24"/>
          <w:rtl w:val="false"/>
          <w:lang w:val="en-US" w:bidi="he-IL"/>
        </w:rPr>
        <w:t xml:space="preserve">A‎</w:t>
      </w:r>
      <w:r>
        <w:rPr>
          <w:rFonts w:ascii="David" w:cs="David" w:eastAsia="David" w:hAnsi="David"/>
          <w:noProof/>
          <w:sz w:val="24"/>
          <w:szCs w:val="24"/>
          <w:rtl/>
          <w:lang w:bidi="he-IL"/>
        </w:rPr>
        <w:t xml:space="preserve"> והמלצת מקפרסון.</w:t>
      </w:r>
    </w:p>
    <w:p>
      <w:pPr>
        <w:bidi/>
        <w:spacing w:after="120" w:line="360"/>
        <w:ind w:firstLine="0"/>
        <w:jc w:val="both"/>
      </w:pPr>
      <w:r>
        <w:rPr>
          <w:rFonts w:ascii="David" w:cs="David" w:eastAsia="David" w:hAnsi="David"/>
          <w:noProof/>
          <w:sz w:val="24"/>
          <w:szCs w:val="24"/>
          <w:rtl/>
          <w:lang w:bidi="he-I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noProof/>
          <w:sz w:val="20"/>
          <w:szCs w:val="20"/>
          <w:rtl w:val="false"/>
          <w:lang w:val="en-US" w:bidi="he-IL"/>
        </w:rPr>
        <w:t xml:space="preserve"> 3 (2018).</w:t>
      </w:r>
    </w:p>
  </w:footnote>
  <w:footnote w:id="2">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noProof/>
          <w:sz w:val="20"/>
          <w:szCs w:val="20"/>
          <w:rtl w:val="false"/>
          <w:lang w:val="en-US" w:bidi="he-IL"/>
        </w:rPr>
        <w:t xml:space="preserve"> 4-3 (2021).</w:t>
      </w:r>
    </w:p>
  </w:footnote>
  <w:footnote w:id="3">
    <w:p>
      <w:pPr>
        <w:bidi/>
        <w:spacing w:after="40" w:line="240"/>
        <w:jc w:val="both"/>
      </w:pPr>
      <w:r>
        <w:rPr>
          <w:rStyle w:val="FootnoteReference"/>
        </w:rPr>
        <w:footnoteRef/>
      </w:r>
      <w:r>
        <w:rPr>
          <w:rFonts w:ascii="David" w:cs="David" w:eastAsia="David" w:hAnsi="David"/>
          <w:noProof/>
          <w:sz w:val="20"/>
          <w:szCs w:val="20"/>
          <w:rtl/>
          <w:lang w:bidi="he-IL"/>
        </w:rPr>
        <w:t xml:space="preserve"> נורית יכימוביץ-כהן </w:t>
      </w:r>
      <w:r>
        <w:rPr>
          <w:rFonts w:ascii="David" w:cs="David" w:eastAsia="David" w:hAnsi="David"/>
          <w:b/>
          <w:bCs/>
          <w:noProof/>
          <w:sz w:val="20"/>
          <w:szCs w:val="20"/>
          <w:rtl/>
          <w:lang w:bidi="he-IL"/>
        </w:rPr>
        <w:t xml:space="preserve">סוגיות הקשורות לשיטור יתר ושימוש משטרתי בכוח כלפי קבוצות אוכלוסייה מסוימות</w:t>
      </w:r>
      <w:r>
        <w:rPr>
          <w:rFonts w:ascii="David" w:cs="David" w:eastAsia="David" w:hAnsi="David"/>
          <w:noProof/>
          <w:sz w:val="20"/>
          <w:szCs w:val="20"/>
          <w:rtl/>
          <w:lang w:bidi="he-I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noProof/>
          <w:sz w:val="20"/>
          <w:szCs w:val="20"/>
          <w:rtl/>
          <w:lang w:bidi="he-I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noProof/>
          <w:sz w:val="20"/>
          <w:szCs w:val="20"/>
          <w:rtl/>
          <w:lang w:bidi="he-IL"/>
        </w:rPr>
        <w:t xml:space="preserve">משפטים על אתר</w:t>
      </w:r>
      <w:r>
        <w:rPr>
          <w:rFonts w:ascii="David" w:cs="David" w:eastAsia="David" w:hAnsi="David"/>
          <w:noProof/>
          <w:sz w:val="20"/>
          <w:szCs w:val="20"/>
          <w:rtl/>
          <w:lang w:bidi="he-IL"/>
        </w:rPr>
        <w:t xml:space="preserve"> (סימפוזיון על אתר, גיליון כא, 2022) </w:t>
      </w:r>
      <w:r>
        <w:rPr>
          <w:rFonts w:ascii="David" w:cs="David" w:eastAsia="David" w:hAnsi="David"/>
          <w:noProof/>
          <w:sz w:val="20"/>
          <w:szCs w:val="20"/>
          <w:rtl w:val="false"/>
          <w:lang w:val="en-US" w:bidi="he-IL"/>
        </w:rPr>
        <w:t xml:space="preserve">https://lawjournal.huji.ac.il/article/12/1903.‎</w:t>
      </w:r>
    </w:p>
  </w:footnote>
  <w:footnote w:id="5">
    <w:p>
      <w:pPr>
        <w:bidi/>
        <w:spacing w:after="40" w:line="240"/>
        <w:jc w:val="both"/>
      </w:pPr>
      <w:r>
        <w:rPr>
          <w:rStyle w:val="FootnoteReference"/>
        </w:rPr>
        <w:footnoteRef/>
      </w:r>
      <w:r>
        <w:rPr>
          <w:rFonts w:ascii="David" w:cs="David" w:eastAsia="David" w:hAnsi="David"/>
          <w:noProof/>
          <w:sz w:val="20"/>
          <w:szCs w:val="20"/>
          <w:rtl/>
          <w:lang w:bidi="he-I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152, 153-152, 157-155 (2020).</w:t>
      </w:r>
    </w:p>
  </w:footnote>
  <w:footnote w:id="6">
    <w:p>
      <w:pPr>
        <w:bidi/>
        <w:spacing w:after="40" w:line="240"/>
        <w:jc w:val="both"/>
      </w:pPr>
      <w:r>
        <w:rPr>
          <w:rStyle w:val="FootnoteReference"/>
        </w:rPr>
        <w:footnoteRef/>
      </w:r>
      <w:r>
        <w:rPr>
          <w:rFonts w:ascii="David" w:cs="David" w:eastAsia="David" w:hAnsi="David"/>
          <w:noProof/>
          <w:sz w:val="20"/>
          <w:szCs w:val="20"/>
          <w:rtl/>
          <w:lang w:bidi="he-IL"/>
        </w:rPr>
        <w:t xml:space="preserve"> שם, בעמ' 154.</w:t>
      </w:r>
    </w:p>
  </w:footnote>
  <w:footnote w:id="7">
    <w:p>
      <w:pPr>
        <w:bidi/>
        <w:spacing w:after="40" w:line="240"/>
        <w:jc w:val="both"/>
      </w:pPr>
      <w:r>
        <w:rPr>
          <w:rStyle w:val="FootnoteReference"/>
        </w:rPr>
        <w:footnoteRef/>
      </w:r>
      <w:r>
        <w:rPr>
          <w:rFonts w:ascii="David" w:cs="David" w:eastAsia="David" w:hAnsi="David"/>
          <w:noProof/>
          <w:sz w:val="20"/>
          <w:szCs w:val="20"/>
          <w:rtl/>
          <w:lang w:bidi="he-IL"/>
        </w:rPr>
        <w:t xml:space="preserve"> נורית יכימוביץ-כהן </w:t>
      </w:r>
      <w:r>
        <w:rPr>
          <w:rFonts w:ascii="David" w:cs="David" w:eastAsia="David" w:hAnsi="David"/>
          <w:b/>
          <w:bCs/>
          <w:noProof/>
          <w:sz w:val="20"/>
          <w:szCs w:val="20"/>
          <w:rtl/>
          <w:lang w:bidi="he-IL"/>
        </w:rPr>
        <w:t xml:space="preserve">פשיעה ועבריינות של צעירים ערבים: נתוני אכיפה</w:t>
      </w:r>
      <w:r>
        <w:rPr>
          <w:rFonts w:ascii="David" w:cs="David" w:eastAsia="David" w:hAnsi="David"/>
          <w:noProof/>
          <w:sz w:val="20"/>
          <w:szCs w:val="20"/>
          <w:rtl/>
          <w:lang w:bidi="he-I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Herman Goldstein, ‎</w:t>
      </w:r>
      <w:r>
        <w:rPr>
          <w:rFonts w:ascii="David" w:cs="David" w:eastAsia="David" w:hAnsi="David"/>
          <w:i/>
          <w:iCs/>
          <w:noProof/>
          <w:sz w:val="20"/>
          <w:szCs w:val="20"/>
          <w:rtl w:val="false"/>
          <w:lang w:val="en-US" w:bidi="he-IL"/>
        </w:rPr>
        <w:t xml:space="preserve">Improving Policing: A Problem-Oriented Approach‎</w:t>
      </w:r>
      <w:r>
        <w:rPr>
          <w:rFonts w:ascii="David" w:cs="David" w:eastAsia="David" w:hAnsi="David"/>
          <w:noProof/>
          <w:sz w:val="20"/>
          <w:szCs w:val="20"/>
          <w:rtl w:val="false"/>
          <w:lang w:val="en-US" w:bidi="he-IL"/>
        </w:rPr>
        <w:t xml:space="preserve">, 25 CRIME &amp; DELINQ. 236, 236 (1979).‎</w:t>
      </w:r>
    </w:p>
  </w:footnote>
  <w:footnote w:id="10">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Jason Sunshine &amp; Tom R. Tyler, ‎</w:t>
      </w:r>
      <w:r>
        <w:rPr>
          <w:rFonts w:ascii="David" w:cs="David" w:eastAsia="David" w:hAnsi="David"/>
          <w:i/>
          <w:iCs/>
          <w:noProof/>
          <w:sz w:val="20"/>
          <w:szCs w:val="20"/>
          <w:rtl w:val="false"/>
          <w:lang w:val="en-US" w:bidi="he-IL"/>
        </w:rPr>
        <w:t xml:space="preserve">The Role of Procedural Justice and Legitimacy in Shaping Public Support for Policing‎</w:t>
      </w:r>
      <w:r>
        <w:rPr>
          <w:rFonts w:ascii="David" w:cs="David" w:eastAsia="David" w:hAnsi="David"/>
          <w:noProof/>
          <w:sz w:val="20"/>
          <w:szCs w:val="20"/>
          <w:rtl w:val="false"/>
          <w:lang w:val="en-US" w:bidi="he-IL"/>
        </w:rPr>
        <w:t xml:space="preserve">, 37 LAW &amp; SOC'Y REV. 513, 513-514 (2003).‎</w:t>
      </w:r>
    </w:p>
  </w:footnote>
  <w:footnote w:id="12">
    <w:p>
      <w:pPr>
        <w:bidi/>
        <w:spacing w:after="40" w:line="240"/>
        <w:jc w:val="both"/>
      </w:pPr>
      <w:r>
        <w:rPr>
          <w:rStyle w:val="FootnoteReference"/>
        </w:rPr>
        <w:footnoteRef/>
      </w:r>
      <w:r>
        <w:rPr>
          <w:rFonts w:ascii="David" w:cs="David" w:eastAsia="David" w:hAnsi="David"/>
          <w:noProof/>
          <w:sz w:val="20"/>
          <w:szCs w:val="20"/>
          <w:rtl/>
          <w:lang w:bidi="he-IL"/>
        </w:rPr>
        <w:t xml:space="preserve"> בג"ץ 7074/93 </w:t>
      </w:r>
      <w:r>
        <w:rPr>
          <w:rFonts w:ascii="David" w:cs="David" w:eastAsia="David" w:hAnsi="David"/>
          <w:b/>
          <w:bCs/>
          <w:noProof/>
          <w:sz w:val="20"/>
          <w:szCs w:val="20"/>
          <w:rtl/>
          <w:lang w:bidi="he-IL"/>
        </w:rPr>
        <w:t xml:space="preserve">סויסא נ' היועץ המשפטי לממשלה</w:t>
      </w:r>
      <w:r>
        <w:rPr>
          <w:rFonts w:ascii="David" w:cs="David" w:eastAsia="David" w:hAnsi="David"/>
          <w:noProof/>
          <w:sz w:val="20"/>
          <w:szCs w:val="20"/>
          <w:rtl/>
          <w:lang w:bidi="he-IL"/>
        </w:rPr>
        <w:t xml:space="preserve">, פ"ד מח(2) 749, 784 (1994).</w:t>
      </w:r>
    </w:p>
  </w:footnote>
  <w:footnote w:id="13">
    <w:p>
      <w:pPr>
        <w:bidi/>
        <w:spacing w:after="40" w:line="240"/>
        <w:jc w:val="both"/>
      </w:pPr>
      <w:r>
        <w:rPr>
          <w:rStyle w:val="FootnoteReference"/>
        </w:rPr>
        <w:footnoteRef/>
      </w:r>
      <w:r>
        <w:rPr>
          <w:rFonts w:ascii="David" w:cs="David" w:eastAsia="David" w:hAnsi="David"/>
          <w:noProof/>
          <w:sz w:val="20"/>
          <w:szCs w:val="20"/>
          <w:rtl/>
          <w:lang w:bidi="he-IL"/>
        </w:rPr>
        <w:t xml:space="preserve"> בג"ץ 8634/08 </w:t>
      </w:r>
      <w:r>
        <w:rPr>
          <w:rFonts w:ascii="David" w:cs="David" w:eastAsia="David" w:hAnsi="David"/>
          <w:b/>
          <w:bCs/>
          <w:noProof/>
          <w:sz w:val="20"/>
          <w:szCs w:val="20"/>
          <w:rtl/>
          <w:lang w:bidi="he-IL"/>
        </w:rPr>
        <w:t xml:space="preserve">אלחננוב נ' משטרת ישראל – אגף משאבי אנוש</w:t>
      </w:r>
      <w:r>
        <w:rPr>
          <w:rFonts w:ascii="David" w:cs="David" w:eastAsia="David" w:hAnsi="David"/>
          <w:noProof/>
          <w:sz w:val="20"/>
          <w:szCs w:val="20"/>
          <w:rtl/>
          <w:lang w:bidi="he-IL"/>
        </w:rPr>
        <w:t xml:space="preserve">, פס' 43 (נבו 16.11.2010).</w:t>
      </w:r>
    </w:p>
  </w:footnote>
  <w:footnote w:id="14">
    <w:p>
      <w:pPr>
        <w:bidi/>
        <w:spacing w:after="40" w:line="240"/>
        <w:jc w:val="both"/>
      </w:pPr>
      <w:r>
        <w:rPr>
          <w:rStyle w:val="FootnoteReference"/>
        </w:rPr>
        <w:footnoteRef/>
      </w:r>
      <w:r>
        <w:rPr>
          <w:rFonts w:ascii="David" w:cs="David" w:eastAsia="David" w:hAnsi="David"/>
          <w:noProof/>
          <w:sz w:val="20"/>
          <w:szCs w:val="20"/>
          <w:rtl/>
          <w:lang w:bidi="he-IL"/>
        </w:rPr>
        <w:t xml:space="preserve"> בג"ץ 4455/19 </w:t>
      </w:r>
      <w:r>
        <w:rPr>
          <w:rFonts w:ascii="David" w:cs="David" w:eastAsia="David" w:hAnsi="David"/>
          <w:b/>
          <w:bCs/>
          <w:noProof/>
          <w:sz w:val="20"/>
          <w:szCs w:val="20"/>
          <w:rtl/>
          <w:lang w:bidi="he-IL"/>
        </w:rPr>
        <w:t xml:space="preserve">עמותת טבקה – צדק ושוויון ליוצאי אתיופיה נ' משטרת ישראל</w:t>
      </w:r>
      <w:r>
        <w:rPr>
          <w:rFonts w:ascii="David" w:cs="David" w:eastAsia="David" w:hAnsi="David"/>
          <w:noProof/>
          <w:sz w:val="20"/>
          <w:szCs w:val="20"/>
          <w:rtl/>
          <w:lang w:bidi="he-I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noProof/>
          <w:sz w:val="20"/>
          <w:szCs w:val="20"/>
          <w:rtl/>
          <w:lang w:bidi="he-IL"/>
        </w:rPr>
        <w:t xml:space="preserve"> שם, בעמ' 118.</w:t>
      </w:r>
    </w:p>
  </w:footnote>
  <w:footnote w:id="1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Tom R. Tyler, Phillip Atiba Goff &amp; Robert J. MacCoun, ‎</w:t>
      </w:r>
      <w:r>
        <w:rPr>
          <w:rFonts w:ascii="David" w:cs="David" w:eastAsia="David" w:hAnsi="David"/>
          <w:i/>
          <w:iCs/>
          <w:noProof/>
          <w:sz w:val="20"/>
          <w:szCs w:val="20"/>
          <w:rtl w:val="false"/>
          <w:lang w:val="en-US" w:bidi="he-IL"/>
        </w:rPr>
        <w:t xml:space="preserve">The Impact of Psychological Science on Policing in the United States: Procedural Justice, Legitimacy, and Effective Law Enforcement‎</w:t>
      </w:r>
      <w:r>
        <w:rPr>
          <w:rFonts w:ascii="David" w:cs="David" w:eastAsia="David" w:hAnsi="David"/>
          <w:noProof/>
          <w:sz w:val="20"/>
          <w:szCs w:val="20"/>
          <w:rtl w:val="false"/>
          <w:lang w:val="en-US" w:bidi="he-IL"/>
        </w:rPr>
        <w:t xml:space="preserve">, 16 PSYCHOL. SCI. PUB. INT. 75, 76 (2015).‎</w:t>
      </w:r>
    </w:p>
  </w:footnote>
  <w:footnote w:id="1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למשפטים למען הדמוקרטיה </w:t>
      </w:r>
      <w:r>
        <w:rPr>
          <w:rFonts w:ascii="David" w:cs="David" w:eastAsia="David" w:hAnsi="David"/>
          <w:b/>
          <w:bCs/>
          <w:noProof/>
          <w:sz w:val="20"/>
          <w:szCs w:val="20"/>
          <w:rtl/>
          <w:lang w:bidi="he-IL"/>
        </w:rPr>
        <w:t xml:space="preserve">שינוי המשטר בישראל 2023: אסופת ניירות עמדה</w:t>
      </w:r>
      <w:r>
        <w:rPr>
          <w:rFonts w:ascii="David" w:cs="David" w:eastAsia="David" w:hAnsi="David"/>
          <w:noProof/>
          <w:sz w:val="20"/>
          <w:szCs w:val="20"/>
          <w:rtl/>
          <w:lang w:bidi="he-IL"/>
        </w:rPr>
        <w:t xml:space="preserve"> 591-590 (רונית לוין-שנור עורכת, 2026).</w:t>
      </w:r>
    </w:p>
  </w:footnote>
  <w:footnote w:id="20">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3.</w:t>
      </w:r>
    </w:p>
  </w:footnote>
  <w:footnote w:id="2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David Weisburd &amp; John E. Eck, ‎</w:t>
      </w:r>
      <w:r>
        <w:rPr>
          <w:rFonts w:ascii="David" w:cs="David" w:eastAsia="David" w:hAnsi="David"/>
          <w:i/>
          <w:iCs/>
          <w:noProof/>
          <w:sz w:val="20"/>
          <w:szCs w:val="20"/>
          <w:rtl w:val="false"/>
          <w:lang w:val="en-US" w:bidi="he-IL"/>
        </w:rPr>
        <w:t xml:space="preserve">What Can Police Do to Reduce Crime, Disorder, and Fear?‎</w:t>
      </w:r>
      <w:r>
        <w:rPr>
          <w:rFonts w:ascii="David" w:cs="David" w:eastAsia="David" w:hAnsi="David"/>
          <w:noProof/>
          <w:sz w:val="20"/>
          <w:szCs w:val="20"/>
          <w:rtl w:val="false"/>
          <w:lang w:val="en-US" w:bidi="he-IL"/>
        </w:rPr>
        <w:t xml:space="preserve">, 593 ANNALS AM. ACAD. POL. &amp; SOC. SCI. 42, 42 (2004).‎</w:t>
      </w:r>
    </w:p>
  </w:footnote>
  <w:footnote w:id="2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Goldstein‎</w:t>
      </w:r>
      <w:r>
        <w:rPr>
          <w:rFonts w:ascii="David" w:cs="David" w:eastAsia="David" w:hAnsi="David"/>
          <w:noProof/>
          <w:sz w:val="20"/>
          <w:szCs w:val="20"/>
          <w:rtl/>
          <w:lang w:bidi="he-IL"/>
        </w:rPr>
        <w:t xml:space="preserve">, לעיל ה"ש 9, בעמ' 242.</w:t>
      </w:r>
    </w:p>
  </w:footnote>
  <w:footnote w:id="23">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Joshua C. Hinkle, David Weisburd, Cody W. Telep &amp; Kevin Petersen, ‎</w:t>
      </w:r>
      <w:r>
        <w:rPr>
          <w:rFonts w:ascii="David" w:cs="David" w:eastAsia="David" w:hAnsi="David"/>
          <w:i/>
          <w:iCs/>
          <w:noProof/>
          <w:sz w:val="20"/>
          <w:szCs w:val="20"/>
          <w:rtl w:val="false"/>
          <w:lang w:val="en-US" w:bidi="he-IL"/>
        </w:rPr>
        <w:t xml:space="preserve">Problem-Oriented Policing for Reducing Crime and Disorder: An Updated Systematic Review and Meta-Analysis‎</w:t>
      </w:r>
      <w:r>
        <w:rPr>
          <w:rFonts w:ascii="David" w:cs="David" w:eastAsia="David" w:hAnsi="David"/>
          <w:noProof/>
          <w:sz w:val="20"/>
          <w:szCs w:val="20"/>
          <w:rtl w:val="false"/>
          <w:lang w:val="en-US" w:bidi="he-IL"/>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42-44.</w:t>
      </w:r>
    </w:p>
  </w:footnote>
  <w:footnote w:id="2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Anthony A. Braga, Andrew V. Papachristos &amp; David M. Hureau, ‎</w:t>
      </w:r>
      <w:r>
        <w:rPr>
          <w:rFonts w:ascii="David" w:cs="David" w:eastAsia="David" w:hAnsi="David"/>
          <w:i/>
          <w:iCs/>
          <w:noProof/>
          <w:sz w:val="20"/>
          <w:szCs w:val="20"/>
          <w:rtl w:val="false"/>
          <w:lang w:val="en-US" w:bidi="he-IL"/>
        </w:rPr>
        <w:t xml:space="preserve">Hot Spots Policing Effects on Crime‎</w:t>
      </w:r>
      <w:r>
        <w:rPr>
          <w:rFonts w:ascii="David" w:cs="David" w:eastAsia="David" w:hAnsi="David"/>
          <w:noProof/>
          <w:sz w:val="20"/>
          <w:szCs w:val="20"/>
          <w:rtl w:val="false"/>
          <w:lang w:val="en-US" w:bidi="he-IL"/>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Anthony A. Braga, David Weisburd &amp; Brandon Turchan, ‎</w:t>
      </w:r>
      <w:r>
        <w:rPr>
          <w:rFonts w:ascii="David" w:cs="David" w:eastAsia="David" w:hAnsi="David"/>
          <w:i/>
          <w:iCs/>
          <w:noProof/>
          <w:sz w:val="20"/>
          <w:szCs w:val="20"/>
          <w:rtl w:val="false"/>
          <w:lang w:val="en-US" w:bidi="he-IL"/>
        </w:rPr>
        <w:t xml:space="preserve">Focused Deterrence Strategies Effects on Crime: A Systematic Review‎</w:t>
      </w:r>
      <w:r>
        <w:rPr>
          <w:rFonts w:ascii="David" w:cs="David" w:eastAsia="David" w:hAnsi="David"/>
          <w:noProof/>
          <w:sz w:val="20"/>
          <w:szCs w:val="20"/>
          <w:rtl w:val="false"/>
          <w:lang w:val="en-US" w:bidi="he-IL"/>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301.</w:t>
      </w:r>
    </w:p>
  </w:footnote>
  <w:footnote w:id="30">
    <w:p>
      <w:pPr>
        <w:bidi/>
        <w:spacing w:after="40" w:line="240"/>
        <w:jc w:val="both"/>
      </w:pPr>
      <w:r>
        <w:rPr>
          <w:rStyle w:val="FootnoteReference"/>
        </w:rPr>
        <w:footnoteRef/>
      </w:r>
      <w:r>
        <w:rPr>
          <w:rFonts w:ascii="David" w:cs="David" w:eastAsia="David" w:hAnsi="David"/>
          <w:noProof/>
          <w:sz w:val="20"/>
          <w:szCs w:val="20"/>
          <w:rtl/>
          <w:lang w:bidi="he-IL"/>
        </w:rPr>
        <w:t xml:space="preserve"> שם, בעמ' 209.</w:t>
      </w:r>
    </w:p>
  </w:footnote>
  <w:footnote w:id="31">
    <w:p>
      <w:pPr>
        <w:bidi/>
        <w:spacing w:after="40" w:line="240"/>
        <w:jc w:val="both"/>
      </w:pPr>
      <w:r>
        <w:rPr>
          <w:rStyle w:val="FootnoteReference"/>
        </w:rPr>
        <w:footnoteRef/>
      </w:r>
      <w:r>
        <w:rPr>
          <w:rFonts w:ascii="David" w:cs="David" w:eastAsia="David" w:hAnsi="David"/>
          <w:noProof/>
          <w:sz w:val="20"/>
          <w:szCs w:val="20"/>
          <w:rtl/>
          <w:lang w:bidi="he-IL"/>
        </w:rPr>
        <w:t xml:space="preserve"> שם, בעמ' 210.</w:t>
      </w:r>
    </w:p>
  </w:footnote>
  <w:footnote w:id="32">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Alexandra Natapoff, ‎</w:t>
      </w:r>
      <w:r>
        <w:rPr>
          <w:rFonts w:ascii="David" w:cs="David" w:eastAsia="David" w:hAnsi="David"/>
          <w:i/>
          <w:iCs/>
          <w:noProof/>
          <w:sz w:val="20"/>
          <w:szCs w:val="20"/>
          <w:rtl w:val="false"/>
          <w:lang w:val="en-US" w:bidi="he-IL"/>
        </w:rPr>
        <w:t xml:space="preserve">Underenforcement‎</w:t>
      </w:r>
      <w:r>
        <w:rPr>
          <w:rFonts w:ascii="David" w:cs="David" w:eastAsia="David" w:hAnsi="David"/>
          <w:noProof/>
          <w:sz w:val="20"/>
          <w:szCs w:val="20"/>
          <w:rtl w:val="false"/>
          <w:lang w:val="en-US" w:bidi="he-IL"/>
        </w:rPr>
        <w:t xml:space="preserve">, 75 FORDHAM L. REV. 1715, 1715-1719 (2006).‎</w:t>
      </w:r>
    </w:p>
  </w:footnote>
  <w:footnote w:id="33">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ויעל ליטמנוביץ "חתירה למגע אחר: שיטור החברה הערבית בישראל, נקודת המבט של מפקדי תחנות"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119, 121 (2017).</w:t>
      </w:r>
    </w:p>
  </w:footnote>
  <w:footnote w:id="34">
    <w:p>
      <w:pPr>
        <w:bidi/>
        <w:spacing w:after="40" w:line="240"/>
        <w:jc w:val="both"/>
      </w:pPr>
      <w:r>
        <w:rPr>
          <w:rStyle w:val="FootnoteReference"/>
        </w:rPr>
        <w:footnoteRef/>
      </w:r>
      <w:r>
        <w:rPr>
          <w:rFonts w:ascii="David" w:cs="David" w:eastAsia="David" w:hAnsi="David"/>
          <w:noProof/>
          <w:sz w:val="20"/>
          <w:szCs w:val="20"/>
          <w:rtl/>
          <w:lang w:bidi="he-I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226, 231 (2020).</w:t>
      </w:r>
    </w:p>
  </w:footnote>
  <w:footnote w:id="35">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w:t>
      </w:r>
      <w:r>
        <w:rPr>
          <w:rFonts w:ascii="David" w:cs="David" w:eastAsia="David" w:hAnsi="David"/>
          <w:b/>
          <w:bCs/>
          <w:noProof/>
          <w:sz w:val="20"/>
          <w:szCs w:val="20"/>
          <w:rtl/>
          <w:lang w:bidi="he-IL"/>
        </w:rPr>
        <w:t xml:space="preserve">אשמים: טרילוגיה של משפט פלילי</w:t>
      </w:r>
      <w:r>
        <w:rPr>
          <w:rFonts w:ascii="David" w:cs="David" w:eastAsia="David" w:hAnsi="David"/>
          <w:noProof/>
          <w:sz w:val="20"/>
          <w:szCs w:val="20"/>
          <w:rtl/>
          <w:lang w:bidi="he-IL"/>
        </w:rPr>
        <w:t xml:space="preserve"> כרך </w:t>
      </w:r>
      <w:r>
        <w:rPr>
          <w:rFonts w:ascii="David" w:cs="David" w:eastAsia="David" w:hAnsi="David"/>
          <w:noProof/>
          <w:sz w:val="20"/>
          <w:szCs w:val="20"/>
          <w:rtl w:val="false"/>
          <w:lang w:val="en-US" w:bidi="he-IL"/>
        </w:rPr>
        <w:t xml:space="preserve">II‎</w:t>
      </w:r>
      <w:r>
        <w:rPr>
          <w:rFonts w:ascii="David" w:cs="David" w:eastAsia="David" w:hAnsi="David"/>
          <w:noProof/>
          <w:sz w:val="20"/>
          <w:szCs w:val="20"/>
          <w:rtl/>
          <w:lang w:bidi="he-IL"/>
        </w:rPr>
        <w:t xml:space="preserve">: סדר דין פלילי, חלק א (2026).</w:t>
      </w:r>
    </w:p>
  </w:footnote>
  <w:footnote w:id="3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Monica C. Bell, ‎</w:t>
      </w:r>
      <w:r>
        <w:rPr>
          <w:rFonts w:ascii="David" w:cs="David" w:eastAsia="David" w:hAnsi="David"/>
          <w:i/>
          <w:iCs/>
          <w:noProof/>
          <w:sz w:val="20"/>
          <w:szCs w:val="20"/>
          <w:rtl w:val="false"/>
          <w:lang w:val="en-US" w:bidi="he-IL"/>
        </w:rPr>
        <w:t xml:space="preserve">Police Reform and the Dismantling of Legal Estrangement‎</w:t>
      </w:r>
      <w:r>
        <w:rPr>
          <w:rFonts w:ascii="David" w:cs="David" w:eastAsia="David" w:hAnsi="David"/>
          <w:noProof/>
          <w:sz w:val="20"/>
          <w:szCs w:val="20"/>
          <w:rtl w:val="false"/>
          <w:lang w:val="en-US" w:bidi="he-IL"/>
        </w:rPr>
        <w:t xml:space="preserve">, 126 YALE L.J. 2054, 2054 (2017).‎</w:t>
      </w:r>
    </w:p>
  </w:footnote>
  <w:footnote w:id="3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Sunshine &amp; Tyler‎</w:t>
      </w:r>
      <w:r>
        <w:rPr>
          <w:rFonts w:ascii="David" w:cs="David" w:eastAsia="David" w:hAnsi="David"/>
          <w:noProof/>
          <w:sz w:val="20"/>
          <w:szCs w:val="20"/>
          <w:rtl/>
          <w:lang w:bidi="he-IL"/>
        </w:rPr>
        <w:t xml:space="preserve">, לעיל ה"ש 11, בעמ' 513.</w:t>
      </w:r>
    </w:p>
  </w:footnote>
  <w:footnote w:id="3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Tyler, Goff &amp; MacCoun‎</w:t>
      </w:r>
      <w:r>
        <w:rPr>
          <w:rFonts w:ascii="David" w:cs="David" w:eastAsia="David" w:hAnsi="David"/>
          <w:noProof/>
          <w:sz w:val="20"/>
          <w:szCs w:val="20"/>
          <w:rtl/>
          <w:lang w:bidi="he-IL"/>
        </w:rPr>
        <w:t xml:space="preserve">, לעיל ה"ש 17, בעמ' 75.</w:t>
      </w:r>
    </w:p>
  </w:footnote>
  <w:footnote w:id="39">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Wesley G. Skogan, ‎</w:t>
      </w:r>
      <w:r>
        <w:rPr>
          <w:rFonts w:ascii="David" w:cs="David" w:eastAsia="David" w:hAnsi="David"/>
          <w:i/>
          <w:iCs/>
          <w:noProof/>
          <w:sz w:val="20"/>
          <w:szCs w:val="20"/>
          <w:rtl w:val="false"/>
          <w:lang w:val="en-US" w:bidi="he-IL"/>
        </w:rPr>
        <w:t xml:space="preserve">Asymmetry in the Impact of Encounters with Police‎</w:t>
      </w:r>
      <w:r>
        <w:rPr>
          <w:rFonts w:ascii="David" w:cs="David" w:eastAsia="David" w:hAnsi="David"/>
          <w:noProof/>
          <w:sz w:val="20"/>
          <w:szCs w:val="20"/>
          <w:rtl w:val="false"/>
          <w:lang w:val="en-US" w:bidi="he-IL"/>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Matthew Desmond, Andrew V. Papachristos &amp; David S. Kirk, ‎</w:t>
      </w:r>
      <w:r>
        <w:rPr>
          <w:rFonts w:ascii="David" w:cs="David" w:eastAsia="David" w:hAnsi="David"/>
          <w:i/>
          <w:iCs/>
          <w:noProof/>
          <w:sz w:val="20"/>
          <w:szCs w:val="20"/>
          <w:rtl w:val="false"/>
          <w:lang w:val="en-US" w:bidi="he-IL"/>
        </w:rPr>
        <w:t xml:space="preserve">Police Violence and Citizen Crime Reporting in the Black Community‎</w:t>
      </w:r>
      <w:r>
        <w:rPr>
          <w:rFonts w:ascii="David" w:cs="David" w:eastAsia="David" w:hAnsi="David"/>
          <w:noProof/>
          <w:sz w:val="20"/>
          <w:szCs w:val="20"/>
          <w:rtl w:val="false"/>
          <w:lang w:val="en-US" w:bidi="he-IL"/>
        </w:rPr>
        <w:t xml:space="preserve">, 81 AM. SOCIO. REV. 857, 865-868 (2016).‎</w:t>
      </w:r>
    </w:p>
  </w:footnote>
  <w:footnote w:id="42">
    <w:p>
      <w:pPr>
        <w:bidi/>
        <w:spacing w:after="40" w:line="240"/>
        <w:jc w:val="both"/>
      </w:pPr>
      <w:r>
        <w:rPr>
          <w:rStyle w:val="FootnoteReference"/>
        </w:rPr>
        <w:footnoteRef/>
      </w:r>
      <w:r>
        <w:rPr>
          <w:rFonts w:ascii="David" w:cs="David" w:eastAsia="David" w:hAnsi="David"/>
          <w:noProof/>
          <w:sz w:val="20"/>
          <w:szCs w:val="20"/>
          <w:rtl/>
          <w:lang w:bidi="he-IL"/>
        </w:rPr>
        <w:t xml:space="preserve"> ע"פ 9878/09 </w:t>
      </w:r>
      <w:r>
        <w:rPr>
          <w:rFonts w:ascii="David" w:cs="David" w:eastAsia="David" w:hAnsi="David"/>
          <w:b/>
          <w:bCs/>
          <w:noProof/>
          <w:sz w:val="20"/>
          <w:szCs w:val="20"/>
          <w:rtl/>
          <w:lang w:bidi="he-IL"/>
        </w:rPr>
        <w:t xml:space="preserve">מדינת ישראל נ' מוסא</w:t>
      </w:r>
      <w:r>
        <w:rPr>
          <w:rFonts w:ascii="David" w:cs="David" w:eastAsia="David" w:hAnsi="David"/>
          <w:noProof/>
          <w:sz w:val="20"/>
          <w:szCs w:val="20"/>
          <w:rtl/>
          <w:lang w:bidi="he-IL"/>
        </w:rPr>
        <w:t xml:space="preserve">, פס' 29 (נבו 20.9.2010).</w:t>
      </w:r>
    </w:p>
  </w:footnote>
  <w:footnote w:id="43">
    <w:p>
      <w:pPr>
        <w:bidi/>
        <w:spacing w:after="40" w:line="240"/>
        <w:jc w:val="both"/>
      </w:pPr>
      <w:r>
        <w:rPr>
          <w:rStyle w:val="FootnoteReference"/>
        </w:rPr>
        <w:footnoteRef/>
      </w:r>
      <w:r>
        <w:rPr>
          <w:rFonts w:ascii="David" w:cs="David" w:eastAsia="David" w:hAnsi="David"/>
          <w:noProof/>
          <w:sz w:val="20"/>
          <w:szCs w:val="20"/>
          <w:rtl/>
          <w:lang w:bidi="he-IL"/>
        </w:rPr>
        <w:t xml:space="preserve"> בג"ץ 2605/05 </w:t>
      </w:r>
      <w:r>
        <w:rPr>
          <w:rFonts w:ascii="David" w:cs="David" w:eastAsia="David" w:hAnsi="David"/>
          <w:b/>
          <w:bCs/>
          <w:noProof/>
          <w:sz w:val="20"/>
          <w:szCs w:val="20"/>
          <w:rtl/>
          <w:lang w:bidi="he-IL"/>
        </w:rPr>
        <w:t xml:space="preserve">המרכז האקדמי למשפט ולעסקים, חטיבת זכויות האדם נ' שר האוצר</w:t>
      </w:r>
      <w:r>
        <w:rPr>
          <w:rFonts w:ascii="David" w:cs="David" w:eastAsia="David" w:hAnsi="David"/>
          <w:noProof/>
          <w:sz w:val="20"/>
          <w:szCs w:val="20"/>
          <w:rtl/>
          <w:lang w:bidi="he-I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noProof/>
          <w:sz w:val="20"/>
          <w:szCs w:val="20"/>
          <w:rtl/>
          <w:lang w:bidi="he-IL"/>
        </w:rPr>
        <w:t xml:space="preserve"> ס' 2 לחוק החזקת תעודת זהות והצגתה, התשמ"ג–1982;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noProof/>
          <w:sz w:val="20"/>
          <w:szCs w:val="20"/>
          <w:rtl/>
          <w:lang w:bidi="he-I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noProof/>
          <w:sz w:val="20"/>
          <w:szCs w:val="20"/>
          <w:rtl/>
          <w:lang w:bidi="he-IL"/>
        </w:rPr>
        <w:t xml:space="preserve"> בג"ץ 2557/05 </w:t>
      </w:r>
      <w:r>
        <w:rPr>
          <w:rFonts w:ascii="David" w:cs="David" w:eastAsia="David" w:hAnsi="David"/>
          <w:b/>
          <w:bCs/>
          <w:noProof/>
          <w:sz w:val="20"/>
          <w:szCs w:val="20"/>
          <w:rtl/>
          <w:lang w:bidi="he-IL"/>
        </w:rPr>
        <w:t xml:space="preserve">מטה הרוב נ' משטרת ישראל</w:t>
      </w:r>
      <w:r>
        <w:rPr>
          <w:rFonts w:ascii="David" w:cs="David" w:eastAsia="David" w:hAnsi="David"/>
          <w:noProof/>
          <w:sz w:val="20"/>
          <w:szCs w:val="20"/>
          <w:rtl/>
          <w:lang w:bidi="he-IL"/>
        </w:rPr>
        <w:t xml:space="preserve">, פ"ד סב(1) 200 (2006).</w:t>
      </w:r>
    </w:p>
  </w:footnote>
  <w:footnote w:id="48">
    <w:p>
      <w:pPr>
        <w:bidi/>
        <w:spacing w:after="40" w:line="240"/>
        <w:jc w:val="both"/>
      </w:pPr>
      <w:r>
        <w:rPr>
          <w:rStyle w:val="FootnoteReference"/>
        </w:rPr>
        <w:footnoteRef/>
      </w:r>
      <w:r>
        <w:rPr>
          <w:rFonts w:ascii="David" w:cs="David" w:eastAsia="David" w:hAnsi="David"/>
          <w:noProof/>
          <w:sz w:val="20"/>
          <w:szCs w:val="20"/>
          <w:rtl/>
          <w:lang w:bidi="he-IL"/>
        </w:rPr>
        <w:t xml:space="preserve"> בג"ץ 6824/07 </w:t>
      </w:r>
      <w:r>
        <w:rPr>
          <w:rFonts w:ascii="David" w:cs="David" w:eastAsia="David" w:hAnsi="David"/>
          <w:b/>
          <w:bCs/>
          <w:noProof/>
          <w:sz w:val="20"/>
          <w:szCs w:val="20"/>
          <w:rtl/>
          <w:lang w:bidi="he-IL"/>
        </w:rPr>
        <w:t xml:space="preserve">מנאע נ' רשות המסים</w:t>
      </w:r>
      <w:r>
        <w:rPr>
          <w:rFonts w:ascii="David" w:cs="David" w:eastAsia="David" w:hAnsi="David"/>
          <w:noProof/>
          <w:sz w:val="20"/>
          <w:szCs w:val="20"/>
          <w:rtl/>
          <w:lang w:bidi="he-IL"/>
        </w:rPr>
        <w:t xml:space="preserve">, פ"ד סד(2) 479, 525-524 (2010); בג"ץ 5887/17 </w:t>
      </w:r>
      <w:r>
        <w:rPr>
          <w:rFonts w:ascii="David" w:cs="David" w:eastAsia="David" w:hAnsi="David"/>
          <w:b/>
          <w:bCs/>
          <w:noProof/>
          <w:sz w:val="20"/>
          <w:szCs w:val="20"/>
          <w:rtl/>
          <w:lang w:bidi="he-IL"/>
        </w:rPr>
        <w:t xml:space="preserve">ג'בארין נ' משטרת ישראל</w:t>
      </w:r>
      <w:r>
        <w:rPr>
          <w:rFonts w:ascii="David" w:cs="David" w:eastAsia="David" w:hAnsi="David"/>
          <w:noProof/>
          <w:sz w:val="20"/>
          <w:szCs w:val="20"/>
          <w:rtl/>
          <w:lang w:bidi="he-IL"/>
        </w:rPr>
        <w:t xml:space="preserve"> (נבו 25.7.2017).</w:t>
      </w:r>
    </w:p>
  </w:footnote>
  <w:footnote w:id="49">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noProof/>
          <w:sz w:val="20"/>
          <w:szCs w:val="20"/>
          <w:rtl/>
          <w:lang w:bidi="he-I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noProof/>
          <w:sz w:val="20"/>
          <w:szCs w:val="20"/>
          <w:rtl/>
          <w:lang w:bidi="he-IL"/>
        </w:rPr>
        <w:t xml:space="preserve"> רע"פ 2161/21 </w:t>
      </w:r>
      <w:r>
        <w:rPr>
          <w:rFonts w:ascii="David" w:cs="David" w:eastAsia="David" w:hAnsi="David"/>
          <w:b/>
          <w:bCs/>
          <w:noProof/>
          <w:sz w:val="20"/>
          <w:szCs w:val="20"/>
          <w:rtl/>
          <w:lang w:bidi="he-IL"/>
        </w:rPr>
        <w:t xml:space="preserve">משאיך נ' מדינת ישראל</w:t>
      </w:r>
      <w:r>
        <w:rPr>
          <w:rFonts w:ascii="David" w:cs="David" w:eastAsia="David" w:hAnsi="David"/>
          <w:noProof/>
          <w:sz w:val="20"/>
          <w:szCs w:val="20"/>
          <w:rtl/>
          <w:lang w:bidi="he-I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noProof/>
          <w:sz w:val="20"/>
          <w:szCs w:val="20"/>
          <w:rtl/>
          <w:lang w:bidi="he-IL"/>
        </w:rPr>
        <w:t xml:space="preserve"> רע"פ 3829/15 </w:t>
      </w:r>
      <w:r>
        <w:rPr>
          <w:rFonts w:ascii="David" w:cs="David" w:eastAsia="David" w:hAnsi="David"/>
          <w:b/>
          <w:bCs/>
          <w:noProof/>
          <w:sz w:val="20"/>
          <w:szCs w:val="20"/>
          <w:rtl/>
          <w:lang w:bidi="he-IL"/>
        </w:rPr>
        <w:t xml:space="preserve">קסאי נ' מדינת ישראל</w:t>
      </w:r>
      <w:r>
        <w:rPr>
          <w:rFonts w:ascii="David" w:cs="David" w:eastAsia="David" w:hAnsi="David"/>
          <w:noProof/>
          <w:sz w:val="20"/>
          <w:szCs w:val="20"/>
          <w:rtl/>
          <w:lang w:bidi="he-IL"/>
        </w:rPr>
        <w:t xml:space="preserve"> (נבו 20.12.2018).</w:t>
      </w:r>
    </w:p>
  </w:footnote>
  <w:footnote w:id="54">
    <w:p>
      <w:pPr>
        <w:bidi/>
        <w:spacing w:after="40" w:line="240"/>
        <w:jc w:val="both"/>
      </w:pPr>
      <w:r>
        <w:rPr>
          <w:rStyle w:val="FootnoteReference"/>
        </w:rPr>
        <w:footnoteRef/>
      </w:r>
      <w:r>
        <w:rPr>
          <w:rFonts w:ascii="David" w:cs="David" w:eastAsia="David" w:hAnsi="David"/>
          <w:noProof/>
          <w:sz w:val="20"/>
          <w:szCs w:val="20"/>
          <w:rtl/>
          <w:lang w:bidi="he-IL"/>
        </w:rPr>
        <w:t xml:space="preserve"> רע"פ 3199/20 </w:t>
      </w:r>
      <w:r>
        <w:rPr>
          <w:rFonts w:ascii="David" w:cs="David" w:eastAsia="David" w:hAnsi="David"/>
          <w:b/>
          <w:bCs/>
          <w:noProof/>
          <w:sz w:val="20"/>
          <w:szCs w:val="20"/>
          <w:rtl/>
          <w:lang w:bidi="he-IL"/>
        </w:rPr>
        <w:t xml:space="preserve">זייצב נ' מדינת ישראל</w:t>
      </w:r>
      <w:r>
        <w:rPr>
          <w:rFonts w:ascii="David" w:cs="David" w:eastAsia="David" w:hAnsi="David"/>
          <w:noProof/>
          <w:sz w:val="20"/>
          <w:szCs w:val="20"/>
          <w:rtl/>
          <w:lang w:bidi="he-I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noProof/>
          <w:sz w:val="20"/>
          <w:szCs w:val="20"/>
          <w:rtl/>
          <w:lang w:bidi="he-I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noProof/>
          <w:sz w:val="20"/>
          <w:szCs w:val="20"/>
          <w:rtl/>
          <w:lang w:bidi="he-IL"/>
        </w:rPr>
        <w:t xml:space="preserve"> רע"פ 10141/09 </w:t>
      </w:r>
      <w:r>
        <w:rPr>
          <w:rFonts w:ascii="David" w:cs="David" w:eastAsia="David" w:hAnsi="David"/>
          <w:b/>
          <w:bCs/>
          <w:noProof/>
          <w:sz w:val="20"/>
          <w:szCs w:val="20"/>
          <w:rtl/>
          <w:lang w:bidi="he-IL"/>
        </w:rPr>
        <w:t xml:space="preserve">בן חיים נ' מדינת ישראל</w:t>
      </w:r>
      <w:r>
        <w:rPr>
          <w:rFonts w:ascii="David" w:cs="David" w:eastAsia="David" w:hAnsi="David"/>
          <w:noProof/>
          <w:sz w:val="20"/>
          <w:szCs w:val="20"/>
          <w:rtl/>
          <w:lang w:bidi="he-IL"/>
        </w:rPr>
        <w:t xml:space="preserve">, פ"ד סה(3) 305, 330 (2012).</w:t>
      </w:r>
    </w:p>
  </w:footnote>
  <w:footnote w:id="57">
    <w:p>
      <w:pPr>
        <w:bidi/>
        <w:spacing w:after="40" w:line="240"/>
        <w:jc w:val="both"/>
      </w:pPr>
      <w:r>
        <w:rPr>
          <w:rStyle w:val="FootnoteReference"/>
        </w:rPr>
        <w:footnoteRef/>
      </w:r>
      <w:r>
        <w:rPr>
          <w:rFonts w:ascii="David" w:cs="David" w:eastAsia="David" w:hAnsi="David"/>
          <w:noProof/>
          <w:sz w:val="20"/>
          <w:szCs w:val="20"/>
          <w:rtl/>
          <w:lang w:bidi="he-IL"/>
        </w:rPr>
        <w:t xml:space="preserve"> איתי הרמלין "אומרים הסכמה (לחיפוש) יש בעולם. מה זאת הסכמה?" </w:t>
      </w:r>
      <w:r>
        <w:rPr>
          <w:rFonts w:ascii="David" w:cs="David" w:eastAsia="David" w:hAnsi="David"/>
          <w:b/>
          <w:bCs/>
          <w:noProof/>
          <w:sz w:val="20"/>
          <w:szCs w:val="20"/>
          <w:rtl/>
          <w:lang w:bidi="he-IL"/>
        </w:rPr>
        <w:t xml:space="preserve">75 שנות עצמאות במשפט: שופטים מספרים על פסקי דין משבעים וחמש שנות שפיטה</w:t>
      </w:r>
      <w:r>
        <w:rPr>
          <w:rFonts w:ascii="David" w:cs="David" w:eastAsia="David" w:hAnsi="David"/>
          <w:noProof/>
          <w:sz w:val="20"/>
          <w:szCs w:val="20"/>
          <w:rtl/>
          <w:lang w:bidi="he-I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noProof/>
          <w:sz w:val="20"/>
          <w:szCs w:val="20"/>
          <w:rtl/>
          <w:lang w:bidi="he-IL"/>
        </w:rPr>
        <w:t xml:space="preserve"> הרדוף </w:t>
      </w:r>
      <w:r>
        <w:rPr>
          <w:rFonts w:ascii="David" w:cs="David" w:eastAsia="David" w:hAnsi="David"/>
          <w:b/>
          <w:bCs/>
          <w:noProof/>
          <w:sz w:val="20"/>
          <w:szCs w:val="20"/>
          <w:rtl/>
          <w:lang w:bidi="he-IL"/>
        </w:rPr>
        <w:t xml:space="preserve">אשמים</w:t>
      </w:r>
      <w:r>
        <w:rPr>
          <w:rFonts w:ascii="David" w:cs="David" w:eastAsia="David" w:hAnsi="David"/>
          <w:noProof/>
          <w:sz w:val="20"/>
          <w:szCs w:val="20"/>
          <w:rtl/>
          <w:lang w:bidi="he-IL"/>
        </w:rPr>
        <w:t xml:space="preserve">, לעיל ה"ש 35.</w:t>
      </w:r>
    </w:p>
  </w:footnote>
  <w:footnote w:id="59">
    <w:p>
      <w:pPr>
        <w:bidi/>
        <w:spacing w:after="40" w:line="240"/>
        <w:jc w:val="both"/>
      </w:pPr>
      <w:r>
        <w:rPr>
          <w:rStyle w:val="FootnoteReference"/>
        </w:rPr>
        <w:footnoteRef/>
      </w:r>
      <w:r>
        <w:rPr>
          <w:rFonts w:ascii="David" w:cs="David" w:eastAsia="David" w:hAnsi="David"/>
          <w:noProof/>
          <w:sz w:val="20"/>
          <w:szCs w:val="20"/>
          <w:rtl/>
          <w:lang w:bidi="he-IL"/>
        </w:rPr>
        <w:t xml:space="preserve"> דנג"ץ 2707/21 </w:t>
      </w:r>
      <w:r>
        <w:rPr>
          <w:rFonts w:ascii="David" w:cs="David" w:eastAsia="David" w:hAnsi="David"/>
          <w:b/>
          <w:bCs/>
          <w:noProof/>
          <w:sz w:val="20"/>
          <w:szCs w:val="20"/>
          <w:rtl/>
          <w:lang w:bidi="he-IL"/>
        </w:rPr>
        <w:t xml:space="preserve">משטרת ישראל נ' עמותת טבקה – צדק ושוויון ליוצאי אתיופיה</w:t>
      </w:r>
      <w:r>
        <w:rPr>
          <w:rFonts w:ascii="David" w:cs="David" w:eastAsia="David" w:hAnsi="David"/>
          <w:noProof/>
          <w:sz w:val="20"/>
          <w:szCs w:val="20"/>
          <w:rtl/>
          <w:lang w:bidi="he-IL"/>
        </w:rPr>
        <w:t xml:space="preserve">, פס' 14-11 (נבו 29.12.2021).</w:t>
      </w:r>
    </w:p>
  </w:footnote>
  <w:footnote w:id="60">
    <w:p>
      <w:pPr>
        <w:bidi/>
        <w:spacing w:after="40" w:line="240"/>
        <w:jc w:val="both"/>
      </w:pPr>
      <w:r>
        <w:rPr>
          <w:rStyle w:val="FootnoteReference"/>
        </w:rPr>
        <w:footnoteRef/>
      </w:r>
      <w:r>
        <w:rPr>
          <w:rFonts w:ascii="David" w:cs="David" w:eastAsia="David" w:hAnsi="David"/>
          <w:noProof/>
          <w:sz w:val="20"/>
          <w:szCs w:val="20"/>
          <w:rtl/>
          <w:lang w:bidi="he-IL"/>
        </w:rPr>
        <w:t xml:space="preserve"> בג"ץ 244/23 </w:t>
      </w:r>
      <w:r>
        <w:rPr>
          <w:rFonts w:ascii="David" w:cs="David" w:eastAsia="David" w:hAnsi="David"/>
          <w:b/>
          <w:bCs/>
          <w:noProof/>
          <w:sz w:val="20"/>
          <w:szCs w:val="20"/>
          <w:rtl/>
          <w:lang w:bidi="he-IL"/>
        </w:rPr>
        <w:t xml:space="preserve">האגודה לזכויות האזרח בישראל נ' משטרת ישראל</w:t>
      </w:r>
      <w:r>
        <w:rPr>
          <w:rFonts w:ascii="David" w:cs="David" w:eastAsia="David" w:hAnsi="David"/>
          <w:noProof/>
          <w:sz w:val="20"/>
          <w:szCs w:val="20"/>
          <w:rtl/>
          <w:lang w:bidi="he-IL"/>
        </w:rPr>
        <w:t xml:space="preserve"> (נבו 14.12.2025).</w:t>
      </w:r>
    </w:p>
  </w:footnote>
  <w:footnote w:id="61">
    <w:p>
      <w:pPr>
        <w:bidi/>
        <w:spacing w:after="40" w:line="240"/>
        <w:jc w:val="both"/>
      </w:pPr>
      <w:r>
        <w:rPr>
          <w:rStyle w:val="FootnoteReference"/>
        </w:rPr>
        <w:footnoteRef/>
      </w:r>
      <w:r>
        <w:rPr>
          <w:rFonts w:ascii="David" w:cs="David" w:eastAsia="David" w:hAnsi="David"/>
          <w:noProof/>
          <w:sz w:val="20"/>
          <w:szCs w:val="20"/>
          <w:rtl/>
          <w:lang w:bidi="he-IL"/>
        </w:rPr>
        <w:t xml:space="preserve"> בג"ץ 6396/96 </w:t>
      </w:r>
      <w:r>
        <w:rPr>
          <w:rFonts w:ascii="David" w:cs="David" w:eastAsia="David" w:hAnsi="David"/>
          <w:b/>
          <w:bCs/>
          <w:noProof/>
          <w:sz w:val="20"/>
          <w:szCs w:val="20"/>
          <w:rtl/>
          <w:lang w:bidi="he-IL"/>
        </w:rPr>
        <w:t xml:space="preserve">זקין נ' ראש עיריית באר-שבע</w:t>
      </w:r>
      <w:r>
        <w:rPr>
          <w:rFonts w:ascii="David" w:cs="David" w:eastAsia="David" w:hAnsi="David"/>
          <w:noProof/>
          <w:sz w:val="20"/>
          <w:szCs w:val="20"/>
          <w:rtl/>
          <w:lang w:bidi="he-IL"/>
        </w:rPr>
        <w:t xml:space="preserve">, פ"ד נג(3) 289 (1999).</w:t>
      </w:r>
    </w:p>
  </w:footnote>
  <w:footnote w:id="62">
    <w:p>
      <w:pPr>
        <w:bidi/>
        <w:spacing w:after="40" w:line="240"/>
        <w:jc w:val="both"/>
      </w:pPr>
      <w:r>
        <w:rPr>
          <w:rStyle w:val="FootnoteReference"/>
        </w:rPr>
        <w:footnoteRef/>
      </w:r>
      <w:r>
        <w:rPr>
          <w:rFonts w:ascii="David" w:cs="David" w:eastAsia="David" w:hAnsi="David"/>
          <w:noProof/>
          <w:sz w:val="20"/>
          <w:szCs w:val="20"/>
          <w:rtl/>
          <w:lang w:bidi="he-IL"/>
        </w:rPr>
        <w:t xml:space="preserve"> ע"פ 4855/02 </w:t>
      </w:r>
      <w:r>
        <w:rPr>
          <w:rFonts w:ascii="David" w:cs="David" w:eastAsia="David" w:hAnsi="David"/>
          <w:b/>
          <w:bCs/>
          <w:noProof/>
          <w:sz w:val="20"/>
          <w:szCs w:val="20"/>
          <w:rtl/>
          <w:lang w:bidi="he-IL"/>
        </w:rPr>
        <w:t xml:space="preserve">מדינת ישראל נ' בורוביץ</w:t>
      </w:r>
      <w:r>
        <w:rPr>
          <w:rFonts w:ascii="David" w:cs="David" w:eastAsia="David" w:hAnsi="David"/>
          <w:noProof/>
          <w:sz w:val="20"/>
          <w:szCs w:val="20"/>
          <w:rtl/>
          <w:lang w:bidi="he-IL"/>
        </w:rPr>
        <w:t xml:space="preserve">, פ"ד נט(6) 776 (2005).</w:t>
      </w:r>
    </w:p>
  </w:footnote>
  <w:footnote w:id="63">
    <w:p>
      <w:pPr>
        <w:bidi/>
        <w:spacing w:after="40" w:line="240"/>
        <w:jc w:val="both"/>
      </w:pPr>
      <w:r>
        <w:rPr>
          <w:rStyle w:val="FootnoteReference"/>
        </w:rPr>
        <w:footnoteRef/>
      </w:r>
      <w:r>
        <w:rPr>
          <w:rFonts w:ascii="David" w:cs="David" w:eastAsia="David" w:hAnsi="David"/>
          <w:noProof/>
          <w:sz w:val="20"/>
          <w:szCs w:val="20"/>
          <w:rtl/>
          <w:lang w:bidi="he-IL"/>
        </w:rPr>
        <w:t xml:space="preserve"> ע"פ 6328/12 </w:t>
      </w:r>
      <w:r>
        <w:rPr>
          <w:rFonts w:ascii="David" w:cs="David" w:eastAsia="David" w:hAnsi="David"/>
          <w:b/>
          <w:bCs/>
          <w:noProof/>
          <w:sz w:val="20"/>
          <w:szCs w:val="20"/>
          <w:rtl/>
          <w:lang w:bidi="he-IL"/>
        </w:rPr>
        <w:t xml:space="preserve">מדינת ישראל נ' פרץ</w:t>
      </w:r>
      <w:r>
        <w:rPr>
          <w:rFonts w:ascii="David" w:cs="David" w:eastAsia="David" w:hAnsi="David"/>
          <w:noProof/>
          <w:sz w:val="20"/>
          <w:szCs w:val="20"/>
          <w:rtl/>
          <w:lang w:bidi="he-IL"/>
        </w:rPr>
        <w:t xml:space="preserve"> (נבו 10.9.2013).</w:t>
      </w:r>
    </w:p>
  </w:footnote>
  <w:footnote w:id="64">
    <w:p>
      <w:pPr>
        <w:bidi/>
        <w:spacing w:after="40" w:line="240"/>
        <w:jc w:val="both"/>
      </w:pPr>
      <w:r>
        <w:rPr>
          <w:rStyle w:val="FootnoteReference"/>
        </w:rPr>
        <w:footnoteRef/>
      </w:r>
      <w:r>
        <w:rPr>
          <w:rFonts w:ascii="David" w:cs="David" w:eastAsia="David" w:hAnsi="David"/>
          <w:noProof/>
          <w:sz w:val="20"/>
          <w:szCs w:val="20"/>
          <w:rtl/>
          <w:lang w:bidi="he-IL"/>
        </w:rPr>
        <w:t xml:space="preserve"> בג"ץ 7839/19 </w:t>
      </w:r>
      <w:r>
        <w:rPr>
          <w:rFonts w:ascii="David" w:cs="David" w:eastAsia="David" w:hAnsi="David"/>
          <w:b/>
          <w:bCs/>
          <w:noProof/>
          <w:sz w:val="20"/>
          <w:szCs w:val="20"/>
          <w:rtl/>
          <w:lang w:bidi="he-IL"/>
        </w:rPr>
        <w:t xml:space="preserve">פלוני נ' משטרת ישראל</w:t>
      </w:r>
      <w:r>
        <w:rPr>
          <w:rFonts w:ascii="David" w:cs="David" w:eastAsia="David" w:hAnsi="David"/>
          <w:noProof/>
          <w:sz w:val="20"/>
          <w:szCs w:val="20"/>
          <w:rtl/>
          <w:lang w:bidi="he-IL"/>
        </w:rPr>
        <w:t xml:space="preserve"> (נבו 19.10.2020).</w:t>
      </w:r>
    </w:p>
  </w:footnote>
  <w:footnote w:id="65">
    <w:p>
      <w:pPr>
        <w:bidi/>
        <w:spacing w:after="40" w:line="240"/>
        <w:jc w:val="both"/>
      </w:pPr>
      <w:r>
        <w:rPr>
          <w:rStyle w:val="FootnoteReference"/>
        </w:rPr>
        <w:footnoteRef/>
      </w:r>
      <w:r>
        <w:rPr>
          <w:rFonts w:ascii="David" w:cs="David" w:eastAsia="David" w:hAnsi="David"/>
          <w:noProof/>
          <w:sz w:val="20"/>
          <w:szCs w:val="20"/>
          <w:rtl/>
          <w:lang w:bidi="he-IL"/>
        </w:rPr>
        <w:t xml:space="preserve"> בג"ץ 4475/17 </w:t>
      </w:r>
      <w:r>
        <w:rPr>
          <w:rFonts w:ascii="David" w:cs="David" w:eastAsia="David" w:hAnsi="David"/>
          <w:b/>
          <w:bCs/>
          <w:noProof/>
          <w:sz w:val="20"/>
          <w:szCs w:val="20"/>
          <w:rtl/>
          <w:lang w:bidi="he-IL"/>
        </w:rPr>
        <w:t xml:space="preserve">פרידמן נ' משטרת ישראל</w:t>
      </w:r>
      <w:r>
        <w:rPr>
          <w:rFonts w:ascii="David" w:cs="David" w:eastAsia="David" w:hAnsi="David"/>
          <w:noProof/>
          <w:sz w:val="20"/>
          <w:szCs w:val="20"/>
          <w:rtl/>
          <w:lang w:bidi="he-IL"/>
        </w:rPr>
        <w:t xml:space="preserve"> (נבו 17.2.2019).</w:t>
      </w:r>
    </w:p>
  </w:footnote>
  <w:footnote w:id="6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Tal Jonathan-Zamir &amp; Gali Perry, ‎</w:t>
      </w:r>
      <w:r>
        <w:rPr>
          <w:rFonts w:ascii="David" w:cs="David" w:eastAsia="David" w:hAnsi="David"/>
          <w:i/>
          <w:iCs/>
          <w:noProof/>
          <w:sz w:val="20"/>
          <w:szCs w:val="20"/>
          <w:rtl w:val="false"/>
          <w:lang w:val="en-US" w:bidi="he-IL"/>
        </w:rPr>
        <w:t xml:space="preserve">A Landmark in the Study of Proactive Policing: Commentary on Proactive Policing: Effects on Crime and Communities‎</w:t>
      </w:r>
      <w:r>
        <w:rPr>
          <w:rFonts w:ascii="David" w:cs="David" w:eastAsia="David" w:hAnsi="David"/>
          <w:noProof/>
          <w:sz w:val="20"/>
          <w:szCs w:val="20"/>
          <w:rtl w:val="false"/>
          <w:lang w:val="en-US" w:bidi="he-IL"/>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noProof/>
          <w:sz w:val="20"/>
          <w:szCs w:val="20"/>
          <w:rtl/>
          <w:lang w:bidi="he-IL"/>
        </w:rPr>
        <w:t xml:space="preserve"> ארז פדן "פרקליטות 3.0: הפרקליטות כפי שהייתה, כפי שהינה וכפי שצריכה להיות" </w:t>
      </w:r>
      <w:r>
        <w:rPr>
          <w:rFonts w:ascii="David" w:cs="David" w:eastAsia="David" w:hAnsi="David"/>
          <w:b/>
          <w:bCs/>
          <w:noProof/>
          <w:sz w:val="20"/>
          <w:szCs w:val="20"/>
          <w:rtl/>
          <w:lang w:bidi="he-IL"/>
        </w:rPr>
        <w:t xml:space="preserve">מעשי משפט</w:t>
      </w:r>
      <w:r>
        <w:rPr>
          <w:rFonts w:ascii="David" w:cs="David" w:eastAsia="David" w:hAnsi="David"/>
          <w:noProof/>
          <w:sz w:val="20"/>
          <w:szCs w:val="20"/>
          <w:rtl/>
          <w:lang w:bidi="he-IL"/>
        </w:rPr>
        <w:t xml:space="preserve"> יג 411, 430 (2022).</w:t>
      </w:r>
    </w:p>
  </w:footnote>
  <w:footnote w:id="68">
    <w:p>
      <w:pPr>
        <w:bidi/>
        <w:spacing w:after="40" w:line="240"/>
        <w:jc w:val="both"/>
      </w:pPr>
      <w:r>
        <w:rPr>
          <w:rStyle w:val="FootnoteReference"/>
        </w:rPr>
        <w:footnoteRef/>
      </w:r>
      <w:r>
        <w:rPr>
          <w:rFonts w:ascii="David" w:cs="David" w:eastAsia="David" w:hAnsi="David"/>
          <w:noProof/>
          <w:sz w:val="20"/>
          <w:szCs w:val="20"/>
          <w:rtl/>
          <w:lang w:bidi="he-IL"/>
        </w:rPr>
        <w:t xml:space="preserve"> משטרת ישראל, אגף התכנון והארגון "רפורמת אמו"ן במשטרת ישראל: מרעיון מסדר לשינוי עומק"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11, 11 (2017).</w:t>
      </w:r>
    </w:p>
  </w:footnote>
  <w:footnote w:id="69">
    <w:p>
      <w:pPr>
        <w:bidi/>
        <w:spacing w:after="40" w:line="240"/>
        <w:jc w:val="both"/>
      </w:pPr>
      <w:r>
        <w:rPr>
          <w:rStyle w:val="FootnoteReference"/>
        </w:rPr>
        <w:footnoteRef/>
      </w:r>
      <w:r>
        <w:rPr>
          <w:rFonts w:ascii="David" w:cs="David" w:eastAsia="David" w:hAnsi="David"/>
          <w:noProof/>
          <w:sz w:val="20"/>
          <w:szCs w:val="20"/>
          <w:rtl/>
          <w:lang w:bidi="he-IL"/>
        </w:rPr>
        <w:t xml:space="preserve"> שם, בעמ' 12.</w:t>
      </w:r>
    </w:p>
  </w:footnote>
  <w:footnote w:id="70">
    <w:p>
      <w:pPr>
        <w:bidi/>
        <w:spacing w:after="40" w:line="240"/>
        <w:jc w:val="both"/>
      </w:pPr>
      <w:r>
        <w:rPr>
          <w:rStyle w:val="FootnoteReference"/>
        </w:rPr>
        <w:footnoteRef/>
      </w:r>
      <w:r>
        <w:rPr>
          <w:rFonts w:ascii="David" w:cs="David" w:eastAsia="David" w:hAnsi="David"/>
          <w:noProof/>
          <w:sz w:val="20"/>
          <w:szCs w:val="20"/>
          <w:rtl/>
          <w:lang w:bidi="he-I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75, 77 (2018).</w:t>
      </w:r>
    </w:p>
  </w:footnote>
  <w:footnote w:id="71">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noProof/>
          <w:sz w:val="20"/>
          <w:szCs w:val="20"/>
          <w:rtl/>
          <w:lang w:bidi="he-IL"/>
        </w:rPr>
        <w:t xml:space="preserve"> יהודה קייסי "השיטור הקלאסי: הבסיס המחקרי לרפורמת אמו"ן במשטרת ישראל"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13, 13 (2017).</w:t>
      </w:r>
    </w:p>
  </w:footnote>
  <w:footnote w:id="7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noProof/>
          <w:sz w:val="20"/>
          <w:szCs w:val="20"/>
          <w:rtl/>
          <w:lang w:bidi="he-IL"/>
        </w:rPr>
        <w:t xml:space="preserve"> שם, בעמ' 156.</w:t>
      </w:r>
    </w:p>
  </w:footnote>
  <w:footnote w:id="7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Eck &amp; Spelman‎</w:t>
      </w:r>
      <w:r>
        <w:rPr>
          <w:rFonts w:ascii="David" w:cs="David" w:eastAsia="David" w:hAnsi="David"/>
          <w:noProof/>
          <w:sz w:val="20"/>
          <w:szCs w:val="20"/>
          <w:rtl/>
          <w:lang w:bidi="he-IL"/>
        </w:rPr>
        <w:t xml:space="preserve">, לעיל ה"ש 23, בעמ' </w:t>
      </w:r>
      <w:r>
        <w:rPr>
          <w:rFonts w:ascii="David" w:cs="David" w:eastAsia="David" w:hAnsi="David"/>
          <w:noProof/>
          <w:sz w:val="20"/>
          <w:szCs w:val="20"/>
          <w:rtl w:val="false"/>
          <w:lang w:val="en-US" w:bidi="he-IL"/>
        </w:rPr>
        <w:t xml:space="preserve">xix.‎</w:t>
      </w:r>
    </w:p>
  </w:footnote>
  <w:footnote w:id="7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noProof/>
          <w:sz w:val="20"/>
          <w:szCs w:val="20"/>
          <w:rtl/>
          <w:lang w:bidi="he-IL"/>
        </w:rPr>
        <w:t xml:space="preserve"> מאיר אלרן, אפרים לביא, מני יצחקי ומוחמד ותד </w:t>
      </w:r>
      <w:r>
        <w:rPr>
          <w:rFonts w:ascii="David" w:cs="David" w:eastAsia="David" w:hAnsi="David"/>
          <w:b/>
          <w:bCs/>
          <w:noProof/>
          <w:sz w:val="20"/>
          <w:szCs w:val="20"/>
          <w:rtl/>
          <w:lang w:bidi="he-IL"/>
        </w:rPr>
        <w:t xml:space="preserve">המלצות למדיניות התמודדות לאומית עם האלימות והפשיעה בחברה הערבית בישראל</w:t>
      </w:r>
      <w:r>
        <w:rPr>
          <w:rFonts w:ascii="David" w:cs="David" w:eastAsia="David" w:hAnsi="David"/>
          <w:noProof/>
          <w:sz w:val="20"/>
          <w:szCs w:val="20"/>
          <w:rtl/>
          <w:lang w:bidi="he-I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noProof/>
          <w:sz w:val="20"/>
          <w:szCs w:val="20"/>
          <w:rtl/>
          <w:lang w:bidi="he-IL"/>
        </w:rPr>
        <w:t xml:space="preserve"> מיכאל בירנהק </w:t>
      </w:r>
      <w:r>
        <w:rPr>
          <w:rFonts w:ascii="David" w:cs="David" w:eastAsia="David" w:hAnsi="David"/>
          <w:b/>
          <w:bCs/>
          <w:noProof/>
          <w:sz w:val="20"/>
          <w:szCs w:val="20"/>
          <w:rtl/>
          <w:lang w:bidi="he-IL"/>
        </w:rPr>
        <w:t xml:space="preserve">פרטיות חוקתית</w:t>
      </w:r>
      <w:r>
        <w:rPr>
          <w:rFonts w:ascii="David" w:cs="David" w:eastAsia="David" w:hAnsi="David"/>
          <w:noProof/>
          <w:sz w:val="20"/>
          <w:szCs w:val="20"/>
          <w:rtl w:val="false"/>
          <w:lang w:val="en-US" w:bidi="he-IL"/>
        </w:rPr>
        <w:t xml:space="preserve"> 400 (2023).</w:t>
      </w:r>
    </w:p>
  </w:footnote>
  <w:footnote w:id="79">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noProof/>
          <w:sz w:val="20"/>
          <w:szCs w:val="20"/>
          <w:rtl/>
          <w:lang w:bidi="he-IL"/>
        </w:rPr>
        <w:t xml:space="preserve"> שם, בעמ' 158.</w:t>
      </w:r>
    </w:p>
  </w:footnote>
  <w:footnote w:id="8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301.</w:t>
      </w:r>
    </w:p>
  </w:footnote>
  <w:footnote w:id="8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noProof/>
          <w:sz w:val="20"/>
          <w:szCs w:val="20"/>
          <w:rtl/>
          <w:lang w:bidi="he-IL"/>
        </w:rPr>
        <w:t xml:space="preserve"> בג"ץ 8987/22 </w:t>
      </w:r>
      <w:r>
        <w:rPr>
          <w:rFonts w:ascii="David" w:cs="David" w:eastAsia="David" w:hAnsi="David"/>
          <w:b/>
          <w:bCs/>
          <w:noProof/>
          <w:sz w:val="20"/>
          <w:szCs w:val="20"/>
          <w:rtl/>
          <w:lang w:bidi="he-IL"/>
        </w:rPr>
        <w:t xml:space="preserve">התנועה למען איכות השלטון בישראל נ' הכנסת</w:t>
      </w:r>
      <w:r>
        <w:rPr>
          <w:rFonts w:ascii="David" w:cs="David" w:eastAsia="David" w:hAnsi="David"/>
          <w:noProof/>
          <w:sz w:val="20"/>
          <w:szCs w:val="20"/>
          <w:rtl/>
          <w:lang w:bidi="he-IL"/>
        </w:rPr>
        <w:t xml:space="preserve"> (נבו 2.1.2025).</w:t>
      </w:r>
    </w:p>
  </w:footnote>
  <w:footnote w:id="85">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6-3.</w:t>
      </w:r>
    </w:p>
  </w:footnote>
  <w:footnote w:id="86">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9, 5-3.</w:t>
      </w:r>
    </w:p>
  </w:footnote>
  <w:footnote w:id="87">
    <w:p>
      <w:pPr>
        <w:bidi/>
        <w:spacing w:after="40" w:line="240"/>
        <w:jc w:val="both"/>
      </w:pPr>
      <w:r>
        <w:rPr>
          <w:rStyle w:val="FootnoteReference"/>
        </w:rPr>
        <w:footnoteRef/>
      </w:r>
      <w:r>
        <w:rPr>
          <w:rFonts w:ascii="David" w:cs="David" w:eastAsia="David" w:hAnsi="David"/>
          <w:noProof/>
          <w:sz w:val="20"/>
          <w:szCs w:val="20"/>
          <w:rtl/>
          <w:lang w:bidi="he-I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noProof/>
          <w:sz w:val="20"/>
          <w:szCs w:val="20"/>
          <w:rtl/>
          <w:lang w:bidi="he-IL"/>
        </w:rPr>
        <w:t xml:space="preserve"> שי שטרן </w:t>
      </w:r>
      <w:r>
        <w:rPr>
          <w:rFonts w:ascii="David" w:cs="David" w:eastAsia="David" w:hAnsi="David"/>
          <w:b/>
          <w:bCs/>
          <w:noProof/>
          <w:sz w:val="20"/>
          <w:szCs w:val="20"/>
          <w:rtl/>
          <w:lang w:bidi="he-IL"/>
        </w:rPr>
        <w:t xml:space="preserve">קהילות במשפט</w:t>
      </w:r>
      <w:r>
        <w:rPr>
          <w:rFonts w:ascii="David" w:cs="David" w:eastAsia="David" w:hAnsi="David"/>
          <w:noProof/>
          <w:sz w:val="20"/>
          <w:szCs w:val="20"/>
          <w:rtl w:val="false"/>
          <w:lang w:val="en-US" w:bidi="he-IL"/>
        </w:rPr>
        <w:t xml:space="preserve"> (2026).</w:t>
      </w:r>
    </w:p>
  </w:footnote>
  <w:footnote w:id="89">
    <w:p>
      <w:pPr>
        <w:bidi/>
        <w:spacing w:after="40" w:line="240"/>
        <w:jc w:val="both"/>
      </w:pPr>
      <w:r>
        <w:rPr>
          <w:rStyle w:val="FootnoteReference"/>
        </w:rPr>
        <w:footnoteRef/>
      </w:r>
      <w:r>
        <w:rPr>
          <w:rFonts w:ascii="David" w:cs="David" w:eastAsia="David" w:hAnsi="David"/>
          <w:noProof/>
          <w:sz w:val="20"/>
          <w:szCs w:val="20"/>
          <w:rtl/>
          <w:lang w:bidi="he-IL"/>
        </w:rPr>
        <w:t xml:space="preserve"> בג"ץ 1386/22 </w:t>
      </w:r>
      <w:r>
        <w:rPr>
          <w:rFonts w:ascii="David" w:cs="David" w:eastAsia="David" w:hAnsi="David"/>
          <w:b/>
          <w:bCs/>
          <w:noProof/>
          <w:sz w:val="20"/>
          <w:szCs w:val="20"/>
          <w:rtl/>
          <w:lang w:bidi="he-IL"/>
        </w:rPr>
        <w:t xml:space="preserve">דיאב נ' מפכ"ל משטרת ישראל</w:t>
      </w:r>
      <w:r>
        <w:rPr>
          <w:rFonts w:ascii="David" w:cs="David" w:eastAsia="David" w:hAnsi="David"/>
          <w:noProof/>
          <w:sz w:val="20"/>
          <w:szCs w:val="20"/>
          <w:rtl/>
          <w:lang w:bidi="he-IL"/>
        </w:rPr>
        <w:t xml:space="preserve"> (נבו 7.11.2022); בג"ץ 5442/23 </w:t>
      </w:r>
      <w:r>
        <w:rPr>
          <w:rFonts w:ascii="David" w:cs="David" w:eastAsia="David" w:hAnsi="David"/>
          <w:b/>
          <w:bCs/>
          <w:noProof/>
          <w:sz w:val="20"/>
          <w:szCs w:val="20"/>
          <w:rtl/>
          <w:lang w:bidi="he-IL"/>
        </w:rPr>
        <w:t xml:space="preserve">עבאס נ' מפכ"ל משטרת ישראל</w:t>
      </w:r>
      <w:r>
        <w:rPr>
          <w:rFonts w:ascii="David" w:cs="David" w:eastAsia="David" w:hAnsi="David"/>
          <w:noProof/>
          <w:sz w:val="20"/>
          <w:szCs w:val="20"/>
          <w:rtl/>
          <w:lang w:bidi="he-IL"/>
        </w:rPr>
        <w:t xml:space="preserve"> (נבו 20.7.2023).</w:t>
      </w:r>
    </w:p>
  </w:footnote>
  <w:footnote w:id="90">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4.</w:t>
      </w:r>
    </w:p>
  </w:footnote>
  <w:footnote w:id="9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Braga, Weisburd &amp; Turchan‎</w:t>
      </w:r>
      <w:r>
        <w:rPr>
          <w:rFonts w:ascii="David" w:cs="David" w:eastAsia="David" w:hAnsi="David"/>
          <w:noProof/>
          <w:sz w:val="20"/>
          <w:szCs w:val="20"/>
          <w:rtl/>
          <w:lang w:bidi="he-IL"/>
        </w:rPr>
        <w:t xml:space="preserve">, לעיל ה"ש 27, בס' 1.4.1-1.4.2.</w:t>
      </w:r>
    </w:p>
  </w:footnote>
  <w:footnote w:id="93">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5.</w:t>
      </w:r>
    </w:p>
  </w:footnote>
  <w:footnote w:id="94">
    <w:p>
      <w:pPr>
        <w:bidi/>
        <w:spacing w:after="40" w:line="240"/>
        <w:jc w:val="both"/>
      </w:pPr>
      <w:r>
        <w:rPr>
          <w:rStyle w:val="FootnoteReference"/>
        </w:rPr>
        <w:footnoteRef/>
      </w:r>
      <w:r>
        <w:rPr>
          <w:rFonts w:ascii="David" w:cs="David" w:eastAsia="David" w:hAnsi="David"/>
          <w:noProof/>
          <w:sz w:val="20"/>
          <w:szCs w:val="20"/>
          <w:rtl/>
          <w:lang w:bidi="he-IL"/>
        </w:rPr>
        <w:t xml:space="preserve"> שם, בעמ' 6.</w:t>
      </w:r>
    </w:p>
  </w:footnote>
  <w:footnote w:id="95">
    <w:p>
      <w:pPr>
        <w:bidi/>
        <w:spacing w:after="40" w:line="240"/>
        <w:jc w:val="both"/>
      </w:pPr>
      <w:r>
        <w:rPr>
          <w:rStyle w:val="FootnoteReference"/>
        </w:rPr>
        <w:footnoteRef/>
      </w:r>
      <w:r>
        <w:rPr>
          <w:rFonts w:ascii="David" w:cs="David" w:eastAsia="David" w:hAnsi="David"/>
          <w:noProof/>
          <w:sz w:val="20"/>
          <w:szCs w:val="20"/>
          <w:rtl/>
          <w:lang w:bidi="he-I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noProof/>
          <w:sz w:val="20"/>
          <w:szCs w:val="20"/>
          <w:rtl/>
          <w:lang w:bidi="he-I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noProof/>
          <w:sz w:val="20"/>
          <w:szCs w:val="20"/>
          <w:rtl/>
          <w:lang w:bidi="he-IL"/>
        </w:rPr>
        <w:t xml:space="preserve"> רון שפירא, איתי ברסלר-גונן ואילנית הלל </w:t>
      </w:r>
      <w:r>
        <w:rPr>
          <w:rFonts w:ascii="David" w:cs="David" w:eastAsia="David" w:hAnsi="David"/>
          <w:b/>
          <w:bCs/>
          <w:noProof/>
          <w:sz w:val="20"/>
          <w:szCs w:val="20"/>
          <w:rtl/>
          <w:lang w:bidi="he-IL"/>
        </w:rPr>
        <w:t xml:space="preserve">הליכי מעצר: מורה נבוכים</w:t>
      </w:r>
      <w:r>
        <w:rPr>
          <w:rFonts w:ascii="David" w:cs="David" w:eastAsia="David" w:hAnsi="David"/>
          <w:noProof/>
          <w:sz w:val="20"/>
          <w:szCs w:val="20"/>
          <w:rtl/>
          <w:lang w:bidi="he-IL"/>
        </w:rPr>
        <w:t xml:space="preserve"> מהדורה חמישית (2025).</w:t>
      </w:r>
    </w:p>
  </w:footnote>
  <w:footnote w:id="98">
    <w:p>
      <w:pPr>
        <w:bidi/>
        <w:spacing w:after="40" w:line="240"/>
        <w:jc w:val="both"/>
      </w:pPr>
      <w:r>
        <w:rPr>
          <w:rStyle w:val="FootnoteReference"/>
        </w:rPr>
        <w:footnoteRef/>
      </w:r>
      <w:r>
        <w:rPr>
          <w:rFonts w:ascii="David" w:cs="David" w:eastAsia="David" w:hAnsi="David"/>
          <w:noProof/>
          <w:sz w:val="20"/>
          <w:szCs w:val="20"/>
          <w:rtl/>
          <w:lang w:bidi="he-IL"/>
        </w:rPr>
        <w:t xml:space="preserve"> ע"פ 2482/22 </w:t>
      </w:r>
      <w:r>
        <w:rPr>
          <w:rFonts w:ascii="David" w:cs="David" w:eastAsia="David" w:hAnsi="David"/>
          <w:b/>
          <w:bCs/>
          <w:noProof/>
          <w:sz w:val="20"/>
          <w:szCs w:val="20"/>
          <w:rtl/>
          <w:lang w:bidi="he-IL"/>
        </w:rPr>
        <w:t xml:space="preserve">מדינת ישראל נ' קדורה</w:t>
      </w:r>
      <w:r>
        <w:rPr>
          <w:rFonts w:ascii="David" w:cs="David" w:eastAsia="David" w:hAnsi="David"/>
          <w:noProof/>
          <w:sz w:val="20"/>
          <w:szCs w:val="20"/>
          <w:rtl/>
          <w:lang w:bidi="he-IL"/>
        </w:rPr>
        <w:t xml:space="preserve"> (נבו 14.4.2022); ע"פ 2165/23 </w:t>
      </w:r>
      <w:r>
        <w:rPr>
          <w:rFonts w:ascii="David" w:cs="David" w:eastAsia="David" w:hAnsi="David"/>
          <w:b/>
          <w:bCs/>
          <w:noProof/>
          <w:sz w:val="20"/>
          <w:szCs w:val="20"/>
          <w:rtl/>
          <w:lang w:bidi="he-IL"/>
        </w:rPr>
        <w:t xml:space="preserve">מדינת ישראל נ' בלאל</w:t>
      </w:r>
      <w:r>
        <w:rPr>
          <w:rFonts w:ascii="David" w:cs="David" w:eastAsia="David" w:hAnsi="David"/>
          <w:noProof/>
          <w:sz w:val="20"/>
          <w:szCs w:val="20"/>
          <w:rtl/>
          <w:lang w:bidi="he-IL"/>
        </w:rPr>
        <w:t xml:space="preserve"> (נבו 4.5.2023); ע"פ 4406/19 </w:t>
      </w:r>
      <w:r>
        <w:rPr>
          <w:rFonts w:ascii="David" w:cs="David" w:eastAsia="David" w:hAnsi="David"/>
          <w:b/>
          <w:bCs/>
          <w:noProof/>
          <w:sz w:val="20"/>
          <w:szCs w:val="20"/>
          <w:rtl/>
          <w:lang w:bidi="he-IL"/>
        </w:rPr>
        <w:t xml:space="preserve">מדינת ישראל נ' סובח</w:t>
      </w:r>
      <w:r>
        <w:rPr>
          <w:rFonts w:ascii="David" w:cs="David" w:eastAsia="David" w:hAnsi="David"/>
          <w:noProof/>
          <w:sz w:val="20"/>
          <w:szCs w:val="20"/>
          <w:rtl/>
          <w:lang w:bidi="he-IL"/>
        </w:rPr>
        <w:t xml:space="preserve"> (נבו 5.11.2019).</w:t>
      </w:r>
    </w:p>
  </w:footnote>
  <w:footnote w:id="99">
    <w:p>
      <w:pPr>
        <w:bidi/>
        <w:spacing w:after="40" w:line="240"/>
        <w:jc w:val="both"/>
      </w:pPr>
      <w:r>
        <w:rPr>
          <w:rStyle w:val="FootnoteReference"/>
        </w:rPr>
        <w:footnoteRef/>
      </w:r>
      <w:r>
        <w:rPr>
          <w:rFonts w:ascii="David" w:cs="David" w:eastAsia="David" w:hAnsi="David"/>
          <w:noProof/>
          <w:sz w:val="20"/>
          <w:szCs w:val="20"/>
          <w:rtl/>
          <w:lang w:bidi="he-IL"/>
        </w:rPr>
        <w:t xml:space="preserve"> ת"פ (שלום חד') 34366-04-24 </w:t>
      </w:r>
      <w:r>
        <w:rPr>
          <w:rFonts w:ascii="David" w:cs="David" w:eastAsia="David" w:hAnsi="David"/>
          <w:b/>
          <w:bCs/>
          <w:noProof/>
          <w:sz w:val="20"/>
          <w:szCs w:val="20"/>
          <w:rtl/>
          <w:lang w:bidi="he-IL"/>
        </w:rPr>
        <w:t xml:space="preserve">מדינת ישראל נ' אוסיפוב</w:t>
      </w:r>
      <w:r>
        <w:rPr>
          <w:rFonts w:ascii="David" w:cs="David" w:eastAsia="David" w:hAnsi="David"/>
          <w:noProof/>
          <w:sz w:val="20"/>
          <w:szCs w:val="20"/>
          <w:rtl/>
          <w:lang w:bidi="he-IL"/>
        </w:rPr>
        <w:t xml:space="preserve"> (נבו 6.3.2025).</w:t>
      </w:r>
    </w:p>
  </w:footnote>
  <w:footnote w:id="100">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7.</w:t>
      </w:r>
    </w:p>
  </w:footnote>
  <w:footnote w:id="101">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2.</w:t>
      </w:r>
    </w:p>
  </w:footnote>
  <w:footnote w:id="102">
    <w:p>
      <w:pPr>
        <w:bidi/>
        <w:spacing w:after="40" w:line="240"/>
        <w:jc w:val="both"/>
      </w:pPr>
      <w:r>
        <w:rPr>
          <w:rStyle w:val="FootnoteReference"/>
        </w:rPr>
        <w:footnoteRef/>
      </w:r>
      <w:r>
        <w:rPr>
          <w:rFonts w:ascii="David" w:cs="David" w:eastAsia="David" w:hAnsi="David"/>
          <w:noProof/>
          <w:sz w:val="20"/>
          <w:szCs w:val="20"/>
          <w:rtl/>
          <w:lang w:bidi="he-IL"/>
        </w:rPr>
        <w:t xml:space="preserve"> שם, בעמ' 6.</w:t>
      </w:r>
    </w:p>
  </w:footnote>
  <w:footnote w:id="103">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4.</w:t>
      </w:r>
    </w:p>
  </w:footnote>
  <w:footnote w:id="10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05">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2021</w:t>
      </w:r>
      <w:r>
        <w:rPr>
          <w:rFonts w:ascii="David" w:cs="David" w:eastAsia="David" w:hAnsi="David"/>
          <w:noProof/>
          <w:sz w:val="20"/>
          <w:szCs w:val="20"/>
          <w:rtl/>
          <w:lang w:bidi="he-IL"/>
        </w:rPr>
        <w:t xml:space="preserve">, לעיל ה"ש 2, בעמ' 4.</w:t>
      </w:r>
    </w:p>
  </w:footnote>
  <w:footnote w:id="106">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0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Natapoff‎</w:t>
      </w:r>
      <w:r>
        <w:rPr>
          <w:rFonts w:ascii="David" w:cs="David" w:eastAsia="David" w:hAnsi="David"/>
          <w:noProof/>
          <w:sz w:val="20"/>
          <w:szCs w:val="20"/>
          <w:rtl/>
          <w:lang w:bidi="he-IL"/>
        </w:rPr>
        <w:t xml:space="preserve">, לעיל ה"ש 32, בעמ' 1718-1719.</w:t>
      </w:r>
    </w:p>
  </w:footnote>
  <w:footnote w:id="108">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31.</w:t>
      </w:r>
    </w:p>
  </w:footnote>
  <w:footnote w:id="109">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noProof/>
          <w:sz w:val="20"/>
          <w:szCs w:val="20"/>
          <w:rtl/>
          <w:lang w:bidi="he-IL"/>
        </w:rPr>
        <w:t xml:space="preserve"> בג"ץ 1504/20 </w:t>
      </w:r>
      <w:r>
        <w:rPr>
          <w:rFonts w:ascii="David" w:cs="David" w:eastAsia="David" w:hAnsi="David"/>
          <w:b/>
          <w:bCs/>
          <w:noProof/>
          <w:sz w:val="20"/>
          <w:szCs w:val="20"/>
          <w:rtl/>
          <w:lang w:bidi="he-IL"/>
        </w:rPr>
        <w:t xml:space="preserve">אבו אלקיעאן נ' פרקליט המדינה</w:t>
      </w:r>
      <w:r>
        <w:rPr>
          <w:rFonts w:ascii="David" w:cs="David" w:eastAsia="David" w:hAnsi="David"/>
          <w:noProof/>
          <w:sz w:val="20"/>
          <w:szCs w:val="20"/>
          <w:rtl/>
          <w:lang w:bidi="he-I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Badi Hasisi, ‎</w:t>
      </w:r>
      <w:r>
        <w:rPr>
          <w:rFonts w:ascii="David" w:cs="David" w:eastAsia="David" w:hAnsi="David"/>
          <w:i/>
          <w:iCs/>
          <w:noProof/>
          <w:sz w:val="20"/>
          <w:szCs w:val="20"/>
          <w:rtl w:val="false"/>
          <w:lang w:val="en-US" w:bidi="he-IL"/>
        </w:rPr>
        <w:t xml:space="preserve">Police, Politics, and Culture in a Deeply Divided Society‎</w:t>
      </w:r>
      <w:r>
        <w:rPr>
          <w:rFonts w:ascii="David" w:cs="David" w:eastAsia="David" w:hAnsi="David"/>
          <w:noProof/>
          <w:sz w:val="20"/>
          <w:szCs w:val="20"/>
          <w:rtl w:val="false"/>
          <w:lang w:val="en-US" w:bidi="he-IL"/>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noProof/>
          <w:sz w:val="20"/>
          <w:szCs w:val="20"/>
          <w:rtl/>
          <w:lang w:bidi="he-I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Badi Hasisi &amp; Ronald Weitzer, ‎</w:t>
      </w:r>
      <w:r>
        <w:rPr>
          <w:rFonts w:ascii="David" w:cs="David" w:eastAsia="David" w:hAnsi="David"/>
          <w:i/>
          <w:iCs/>
          <w:noProof/>
          <w:sz w:val="20"/>
          <w:szCs w:val="20"/>
          <w:rtl w:val="false"/>
          <w:lang w:val="en-US" w:bidi="he-IL"/>
        </w:rPr>
        <w:t xml:space="preserve">Police Relations with Arabs and Jews in Israel‎</w:t>
      </w:r>
      <w:r>
        <w:rPr>
          <w:rFonts w:ascii="David" w:cs="David" w:eastAsia="David" w:hAnsi="David"/>
          <w:noProof/>
          <w:sz w:val="20"/>
          <w:szCs w:val="20"/>
          <w:rtl w:val="false"/>
          <w:lang w:val="en-US" w:bidi="he-IL"/>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noProof/>
          <w:sz w:val="20"/>
          <w:szCs w:val="20"/>
          <w:rtl/>
          <w:lang w:bidi="he-IL"/>
        </w:rPr>
        <w:t xml:space="preserve"> רינת קיטאי סנג'רו </w:t>
      </w:r>
      <w:r>
        <w:rPr>
          <w:rFonts w:ascii="David" w:cs="David" w:eastAsia="David" w:hAnsi="David"/>
          <w:b/>
          <w:bCs/>
          <w:noProof/>
          <w:sz w:val="20"/>
          <w:szCs w:val="20"/>
          <w:rtl/>
          <w:lang w:bidi="he-IL"/>
        </w:rPr>
        <w:t xml:space="preserve">הזכות לאי-הפללה עצמית</w:t>
      </w:r>
      <w:r>
        <w:rPr>
          <w:rFonts w:ascii="David" w:cs="David" w:eastAsia="David" w:hAnsi="David"/>
          <w:noProof/>
          <w:sz w:val="20"/>
          <w:szCs w:val="20"/>
          <w:rtl w:val="false"/>
          <w:lang w:val="en-US" w:bidi="he-IL"/>
        </w:rPr>
        <w:t xml:space="preserve"> 275 (2026).</w:t>
      </w:r>
    </w:p>
  </w:footnote>
  <w:footnote w:id="116">
    <w:p>
      <w:pPr>
        <w:bidi/>
        <w:spacing w:after="40" w:line="240"/>
        <w:jc w:val="both"/>
      </w:pPr>
      <w:r>
        <w:rPr>
          <w:rStyle w:val="FootnoteReference"/>
        </w:rPr>
        <w:footnoteRef/>
      </w:r>
      <w:r>
        <w:rPr>
          <w:rFonts w:ascii="David" w:cs="David" w:eastAsia="David" w:hAnsi="David"/>
          <w:noProof/>
          <w:sz w:val="20"/>
          <w:szCs w:val="20"/>
          <w:rtl/>
          <w:lang w:bidi="he-I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noProof/>
          <w:sz w:val="20"/>
          <w:szCs w:val="20"/>
          <w:rtl/>
          <w:lang w:bidi="he-IL"/>
        </w:rPr>
        <w:t xml:space="preserve">מעשי משפט</w:t>
      </w:r>
      <w:r>
        <w:rPr>
          <w:rFonts w:ascii="David" w:cs="David" w:eastAsia="David" w:hAnsi="David"/>
          <w:noProof/>
          <w:sz w:val="20"/>
          <w:szCs w:val="20"/>
          <w:rtl/>
          <w:lang w:bidi="he-IL"/>
        </w:rPr>
        <w:t xml:space="preserve"> יד 195, 206, 220 (2023).</w:t>
      </w:r>
    </w:p>
  </w:footnote>
  <w:footnote w:id="117">
    <w:p>
      <w:pPr>
        <w:bidi/>
        <w:spacing w:after="40" w:line="240"/>
        <w:jc w:val="both"/>
      </w:pPr>
      <w:r>
        <w:rPr>
          <w:rStyle w:val="FootnoteReference"/>
        </w:rPr>
        <w:footnoteRef/>
      </w:r>
      <w:r>
        <w:rPr>
          <w:rFonts w:ascii="David" w:cs="David" w:eastAsia="David" w:hAnsi="David"/>
          <w:noProof/>
          <w:sz w:val="20"/>
          <w:szCs w:val="20"/>
          <w:rtl/>
          <w:lang w:bidi="he-IL"/>
        </w:rPr>
        <w:t xml:space="preserve"> שי דרומי "מה המחיר של החופש להפגין? ההגנה על זכות ההפגנה בדיני הנזיקין" </w:t>
      </w:r>
      <w:r>
        <w:rPr>
          <w:rFonts w:ascii="David" w:cs="David" w:eastAsia="David" w:hAnsi="David"/>
          <w:b/>
          <w:bCs/>
          <w:noProof/>
          <w:sz w:val="20"/>
          <w:szCs w:val="20"/>
          <w:rtl/>
          <w:lang w:bidi="he-IL"/>
        </w:rPr>
        <w:t xml:space="preserve">משפטים על אתר</w:t>
      </w:r>
      <w:r>
        <w:rPr>
          <w:rFonts w:ascii="David" w:cs="David" w:eastAsia="David" w:hAnsi="David"/>
          <w:noProof/>
          <w:sz w:val="20"/>
          <w:szCs w:val="20"/>
          <w:rtl/>
          <w:lang w:bidi="he-IL"/>
        </w:rPr>
        <w:t xml:space="preserve"> כ 207, 234 (2025).</w:t>
      </w:r>
    </w:p>
  </w:footnote>
  <w:footnote w:id="118">
    <w:p>
      <w:pPr>
        <w:bidi/>
        <w:spacing w:after="40" w:line="240"/>
        <w:jc w:val="both"/>
      </w:pPr>
      <w:r>
        <w:rPr>
          <w:rStyle w:val="FootnoteReference"/>
        </w:rPr>
        <w:footnoteRef/>
      </w:r>
      <w:r>
        <w:rPr>
          <w:rFonts w:ascii="David" w:cs="David" w:eastAsia="David" w:hAnsi="David"/>
          <w:noProof/>
          <w:sz w:val="20"/>
          <w:szCs w:val="20"/>
          <w:rtl/>
          <w:lang w:bidi="he-IL"/>
        </w:rPr>
        <w:t xml:space="preserve"> פודם, דרעי וטולדנו, לעיל ה"ש 116, בעמ' 209.</w:t>
      </w:r>
    </w:p>
  </w:footnote>
  <w:footnote w:id="119">
    <w:p>
      <w:pPr>
        <w:bidi/>
        <w:spacing w:after="40" w:line="240"/>
        <w:jc w:val="both"/>
      </w:pPr>
      <w:r>
        <w:rPr>
          <w:rStyle w:val="FootnoteReference"/>
        </w:rPr>
        <w:footnoteRef/>
      </w:r>
      <w:r>
        <w:rPr>
          <w:rFonts w:ascii="David" w:cs="David" w:eastAsia="David" w:hAnsi="David"/>
          <w:noProof/>
          <w:sz w:val="20"/>
          <w:szCs w:val="20"/>
          <w:rtl/>
          <w:lang w:bidi="he-IL"/>
        </w:rPr>
        <w:t xml:space="preserve"> דפנה ברק-ארז </w:t>
      </w:r>
      <w:r>
        <w:rPr>
          <w:rFonts w:ascii="David" w:cs="David" w:eastAsia="David" w:hAnsi="David"/>
          <w:b/>
          <w:bCs/>
          <w:noProof/>
          <w:sz w:val="20"/>
          <w:szCs w:val="20"/>
          <w:rtl/>
          <w:lang w:bidi="he-IL"/>
        </w:rPr>
        <w:t xml:space="preserve">משפט מינהלי</w:t>
      </w:r>
      <w:r>
        <w:rPr>
          <w:rFonts w:ascii="David" w:cs="David" w:eastAsia="David" w:hAnsi="David"/>
          <w:noProof/>
          <w:sz w:val="20"/>
          <w:szCs w:val="20"/>
          <w:rtl/>
          <w:lang w:bidi="he-IL"/>
        </w:rPr>
        <w:t xml:space="preserve"> כרך א 573 (2010); בג"ץ 64/91 </w:t>
      </w:r>
      <w:r>
        <w:rPr>
          <w:rFonts w:ascii="David" w:cs="David" w:eastAsia="David" w:hAnsi="David"/>
          <w:b/>
          <w:bCs/>
          <w:noProof/>
          <w:sz w:val="20"/>
          <w:szCs w:val="20"/>
          <w:rtl/>
          <w:lang w:bidi="he-IL"/>
        </w:rPr>
        <w:t xml:space="preserve">חילף נ' משטרת ישראל</w:t>
      </w:r>
      <w:r>
        <w:rPr>
          <w:rFonts w:ascii="David" w:cs="David" w:eastAsia="David" w:hAnsi="David"/>
          <w:noProof/>
          <w:sz w:val="20"/>
          <w:szCs w:val="20"/>
          <w:rtl/>
          <w:lang w:bidi="he-IL"/>
        </w:rPr>
        <w:t xml:space="preserve">, פ"ד מז(5) 653 (1993).</w:t>
      </w:r>
    </w:p>
  </w:footnote>
  <w:footnote w:id="120">
    <w:p>
      <w:pPr>
        <w:bidi/>
        <w:spacing w:after="40" w:line="240"/>
        <w:jc w:val="both"/>
      </w:pPr>
      <w:r>
        <w:rPr>
          <w:rStyle w:val="FootnoteReference"/>
        </w:rPr>
        <w:footnoteRef/>
      </w:r>
      <w:r>
        <w:rPr>
          <w:rFonts w:ascii="David" w:cs="David" w:eastAsia="David" w:hAnsi="David"/>
          <w:noProof/>
          <w:sz w:val="20"/>
          <w:szCs w:val="20"/>
          <w:rtl/>
          <w:lang w:bidi="he-IL"/>
        </w:rPr>
        <w:t xml:space="preserve"> ברק-ארז, לעיל ה"ש 119, בעמ' 574.</w:t>
      </w:r>
    </w:p>
  </w:footnote>
  <w:footnote w:id="121">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"זכות מפלה ופריווילגיות של מדינה: חיסיון לטובת הציבור ונסיגה לטובת התקפה" </w:t>
      </w:r>
      <w:r>
        <w:rPr>
          <w:rFonts w:ascii="David" w:cs="David" w:eastAsia="David" w:hAnsi="David"/>
          <w:b/>
          <w:bCs/>
          <w:noProof/>
          <w:sz w:val="20"/>
          <w:szCs w:val="20"/>
          <w:rtl/>
          <w:lang w:bidi="he-IL"/>
        </w:rPr>
        <w:t xml:space="preserve">מחקרי משפט</w:t>
      </w:r>
      <w:r>
        <w:rPr>
          <w:rFonts w:ascii="David" w:cs="David" w:eastAsia="David" w:hAnsi="David"/>
          <w:noProof/>
          <w:sz w:val="20"/>
          <w:szCs w:val="20"/>
          <w:rtl/>
          <w:lang w:bidi="he-IL"/>
        </w:rPr>
        <w:t xml:space="preserve"> לד 1, 49-48 (2022).</w:t>
      </w:r>
    </w:p>
  </w:footnote>
  <w:footnote w:id="122">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593.</w:t>
      </w:r>
    </w:p>
  </w:footnote>
  <w:footnote w:id="12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w:t>
      </w:r>
    </w:p>
  </w:footnote>
  <w:footnote w:id="124">
    <w:p>
      <w:pPr>
        <w:bidi/>
        <w:spacing w:after="40" w:line="240"/>
        <w:jc w:val="both"/>
      </w:pPr>
      <w:r>
        <w:rPr>
          <w:rStyle w:val="FootnoteReference"/>
        </w:rPr>
        <w:footnoteRef/>
      </w:r>
      <w:r>
        <w:rPr>
          <w:rFonts w:ascii="David" w:cs="David" w:eastAsia="David" w:hAnsi="David"/>
          <w:noProof/>
          <w:sz w:val="20"/>
          <w:szCs w:val="20"/>
          <w:rtl/>
          <w:lang w:bidi="he-IL"/>
        </w:rPr>
        <w:t xml:space="preserve"> שם, בעמ' 152.</w:t>
      </w:r>
    </w:p>
  </w:footnote>
  <w:footnote w:id="125">
    <w:p>
      <w:pPr>
        <w:bidi/>
        <w:spacing w:after="40" w:line="240"/>
        <w:jc w:val="both"/>
      </w:pPr>
      <w:r>
        <w:rPr>
          <w:rStyle w:val="FootnoteReference"/>
        </w:rPr>
        <w:footnoteRef/>
      </w:r>
      <w:r>
        <w:rPr>
          <w:rFonts w:ascii="David" w:cs="David" w:eastAsia="David" w:hAnsi="David"/>
          <w:noProof/>
          <w:sz w:val="20"/>
          <w:szCs w:val="20"/>
          <w:rtl/>
          <w:lang w:bidi="he-I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167, 167 (2020).</w:t>
      </w:r>
    </w:p>
  </w:footnote>
  <w:footnote w:id="12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127">
    <w:p>
      <w:pPr>
        <w:bidi/>
        <w:spacing w:after="40" w:line="240"/>
        <w:jc w:val="both"/>
      </w:pPr>
      <w:r>
        <w:rPr>
          <w:rStyle w:val="FootnoteReference"/>
        </w:rPr>
        <w:footnoteRef/>
      </w:r>
      <w:r>
        <w:rPr>
          <w:rFonts w:ascii="David" w:cs="David" w:eastAsia="David" w:hAnsi="David"/>
          <w:noProof/>
          <w:sz w:val="20"/>
          <w:szCs w:val="20"/>
          <w:rtl/>
          <w:lang w:bidi="he-IL"/>
        </w:rPr>
        <w:t xml:space="preserve"> שם, בעמ' 160-159.</w:t>
      </w:r>
    </w:p>
  </w:footnote>
  <w:footnote w:id="12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239-238.</w:t>
      </w:r>
    </w:p>
  </w:footnote>
  <w:footnote w:id="129">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30">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247, 276 (2020).</w:t>
      </w:r>
    </w:p>
  </w:footnote>
  <w:footnote w:id="131">
    <w:p>
      <w:pPr>
        <w:bidi/>
        <w:spacing w:after="40" w:line="240"/>
        <w:jc w:val="both"/>
      </w:pPr>
      <w:r>
        <w:rPr>
          <w:rStyle w:val="FootnoteReference"/>
        </w:rPr>
        <w:footnoteRef/>
      </w:r>
      <w:r>
        <w:rPr>
          <w:rFonts w:ascii="David" w:cs="David" w:eastAsia="David" w:hAnsi="David"/>
          <w:noProof/>
          <w:sz w:val="20"/>
          <w:szCs w:val="20"/>
          <w:rtl/>
          <w:lang w:bidi="he-IL"/>
        </w:rPr>
        <w:t xml:space="preserve"> שם, בעמ' 277-276, 248.</w:t>
      </w:r>
    </w:p>
  </w:footnote>
  <w:footnote w:id="132">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233.</w:t>
      </w:r>
    </w:p>
  </w:footnote>
  <w:footnote w:id="133">
    <w:p>
      <w:pPr>
        <w:bidi/>
        <w:spacing w:after="40" w:line="240"/>
        <w:jc w:val="both"/>
      </w:pPr>
      <w:r>
        <w:rPr>
          <w:rStyle w:val="FootnoteReference"/>
        </w:rPr>
        <w:footnoteRef/>
      </w:r>
      <w:r>
        <w:rPr>
          <w:rFonts w:ascii="David" w:cs="David" w:eastAsia="David" w:hAnsi="David"/>
          <w:noProof/>
          <w:sz w:val="20"/>
          <w:szCs w:val="20"/>
          <w:rtl/>
          <w:lang w:bidi="he-IL"/>
        </w:rPr>
        <w:t xml:space="preserve"> שם, בעמ' 238.</w:t>
      </w:r>
    </w:p>
  </w:footnote>
  <w:footnote w:id="134">
    <w:p>
      <w:pPr>
        <w:bidi/>
        <w:spacing w:after="40" w:line="240"/>
        <w:jc w:val="both"/>
      </w:pPr>
      <w:r>
        <w:rPr>
          <w:rStyle w:val="FootnoteReference"/>
        </w:rPr>
        <w:footnoteRef/>
      </w:r>
      <w:r>
        <w:rPr>
          <w:rFonts w:ascii="David" w:cs="David" w:eastAsia="David" w:hAnsi="David"/>
          <w:noProof/>
          <w:sz w:val="20"/>
          <w:szCs w:val="20"/>
          <w:rtl/>
          <w:lang w:bidi="he-IL"/>
        </w:rPr>
        <w:t xml:space="preserve"> שם, בעמ' 240, 236.</w:t>
      </w:r>
    </w:p>
  </w:footnote>
  <w:footnote w:id="135">
    <w:p>
      <w:pPr>
        <w:bidi/>
        <w:spacing w:after="40" w:line="240"/>
        <w:jc w:val="both"/>
      </w:pPr>
      <w:r>
        <w:rPr>
          <w:rStyle w:val="FootnoteReference"/>
        </w:rPr>
        <w:footnoteRef/>
      </w:r>
      <w:r>
        <w:rPr>
          <w:rFonts w:ascii="David" w:cs="David" w:eastAsia="David" w:hAnsi="David"/>
          <w:noProof/>
          <w:sz w:val="20"/>
          <w:szCs w:val="20"/>
          <w:rtl/>
          <w:lang w:bidi="he-IL"/>
        </w:rPr>
        <w:t xml:space="preserve"> שם, בעמ' 239.</w:t>
      </w:r>
    </w:p>
  </w:footnote>
  <w:footnote w:id="13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152.</w:t>
      </w:r>
    </w:p>
  </w:footnote>
  <w:footnote w:id="137">
    <w:p>
      <w:pPr>
        <w:bidi/>
        <w:spacing w:after="40" w:line="240"/>
        <w:jc w:val="both"/>
      </w:pPr>
      <w:r>
        <w:rPr>
          <w:rStyle w:val="FootnoteReference"/>
        </w:rPr>
        <w:footnoteRef/>
      </w:r>
      <w:r>
        <w:rPr>
          <w:rFonts w:ascii="David" w:cs="David" w:eastAsia="David" w:hAnsi="David"/>
          <w:noProof/>
          <w:sz w:val="20"/>
          <w:szCs w:val="20"/>
          <w:rtl/>
          <w:lang w:bidi="he-IL"/>
        </w:rPr>
        <w:t xml:space="preserve"> שם, בעמ' 163.</w:t>
      </w:r>
    </w:p>
  </w:footnote>
  <w:footnote w:id="13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139">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40">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239-238.</w:t>
      </w:r>
    </w:p>
  </w:footnote>
  <w:footnote w:id="141">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42">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283, 305, 302 (2020).</w:t>
      </w:r>
    </w:p>
  </w:footnote>
  <w:footnote w:id="143">
    <w:p>
      <w:pPr>
        <w:bidi/>
        <w:spacing w:after="40" w:line="240"/>
        <w:jc w:val="both"/>
      </w:pPr>
      <w:r>
        <w:rPr>
          <w:rStyle w:val="FootnoteReference"/>
        </w:rPr>
        <w:footnoteRef/>
      </w:r>
      <w:r>
        <w:rPr>
          <w:rFonts w:ascii="David" w:cs="David" w:eastAsia="David" w:hAnsi="David"/>
          <w:noProof/>
          <w:sz w:val="20"/>
          <w:szCs w:val="20"/>
          <w:rtl/>
          <w:lang w:bidi="he-IL"/>
        </w:rPr>
        <w:t xml:space="preserve"> שם, בעמ' 304, 302.</w:t>
      </w:r>
    </w:p>
  </w:footnote>
  <w:footnote w:id="144">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"עבירות אלימות", לעיל ה"ש 130, בעמ' 279; וייסבורד ואחרים "סל עבירות פע"ר", לעיל ה"ש 125, בעמ' 167.</w:t>
      </w:r>
    </w:p>
  </w:footnote>
  <w:footnote w:id="145">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243.</w:t>
      </w:r>
    </w:p>
  </w:footnote>
  <w:footnote w:id="14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158-156.</w:t>
      </w:r>
    </w:p>
  </w:footnote>
  <w:footnote w:id="14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Home Office, Police and Criminal Evidence Act 1984 Code A: Revised Code of Practice for the Exercise by Police Officers of Statutory Powers of Stop and Search, para. 1.1 (2023).‎</w:t>
      </w:r>
    </w:p>
  </w:footnote>
  <w:footnote w:id="14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U.S. CONST. amend. IV.‎</w:t>
      </w:r>
    </w:p>
  </w:footnote>
  <w:footnote w:id="14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Terry v. Ohio‎</w:t>
      </w:r>
      <w:r>
        <w:rPr>
          <w:rFonts w:ascii="David" w:cs="David" w:eastAsia="David" w:hAnsi="David"/>
          <w:noProof/>
          <w:sz w:val="20"/>
          <w:szCs w:val="20"/>
          <w:rtl w:val="false"/>
          <w:lang w:val="en-US" w:bidi="he-IL"/>
        </w:rPr>
        <w:t xml:space="preserve">, 392 U.S. 1, 21, 27 (1968).‎</w:t>
      </w:r>
    </w:p>
  </w:footnote>
  <w:footnote w:id="15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Brown v. Texas‎</w:t>
      </w:r>
      <w:r>
        <w:rPr>
          <w:rFonts w:ascii="David" w:cs="David" w:eastAsia="David" w:hAnsi="David"/>
          <w:noProof/>
          <w:sz w:val="20"/>
          <w:szCs w:val="20"/>
          <w:rtl w:val="false"/>
          <w:lang w:val="en-US" w:bidi="he-IL"/>
        </w:rPr>
        <w:t xml:space="preserve">, 443 U.S. 47 (1979).‎</w:t>
      </w:r>
    </w:p>
  </w:footnote>
  <w:footnote w:id="15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United States v. Mendenhall‎</w:t>
      </w:r>
      <w:r>
        <w:rPr>
          <w:rFonts w:ascii="David" w:cs="David" w:eastAsia="David" w:hAnsi="David"/>
          <w:noProof/>
          <w:sz w:val="20"/>
          <w:szCs w:val="20"/>
          <w:rtl w:val="false"/>
          <w:lang w:val="en-US" w:bidi="he-IL"/>
        </w:rPr>
        <w:t xml:space="preserve">, 446 U.S. 544, 554 (1980).‎</w:t>
      </w:r>
    </w:p>
  </w:footnote>
  <w:footnote w:id="15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Miranda v. Arizona‎</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384 U.S. 436 (1966)‎</w:t>
      </w:r>
      <w:r>
        <w:rPr>
          <w:rFonts w:ascii="David" w:cs="David" w:eastAsia="David" w:hAnsi="David"/>
          <w:noProof/>
          <w:sz w:val="20"/>
          <w:szCs w:val="20"/>
          <w:rtl/>
          <w:lang w:bidi="he-IL"/>
        </w:rPr>
        <w:t xml:space="preserve">; קיטאי סנג'רו, לעיל ה"ש 115, בעמ' 272.</w:t>
      </w:r>
    </w:p>
  </w:footnote>
  <w:footnote w:id="15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Whren v. United States‎</w:t>
      </w:r>
      <w:r>
        <w:rPr>
          <w:rFonts w:ascii="David" w:cs="David" w:eastAsia="David" w:hAnsi="David"/>
          <w:noProof/>
          <w:sz w:val="20"/>
          <w:szCs w:val="20"/>
          <w:rtl w:val="false"/>
          <w:lang w:val="en-US" w:bidi="he-IL"/>
        </w:rPr>
        <w:t xml:space="preserve">, 517 U.S. 806, 813 (1996).‎</w:t>
      </w:r>
    </w:p>
  </w:footnote>
  <w:footnote w:id="154">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Illinois v. Wardlow‎</w:t>
      </w:r>
      <w:r>
        <w:rPr>
          <w:rFonts w:ascii="David" w:cs="David" w:eastAsia="David" w:hAnsi="David"/>
          <w:noProof/>
          <w:sz w:val="20"/>
          <w:szCs w:val="20"/>
          <w:rtl w:val="false"/>
          <w:lang w:val="en-US" w:bidi="he-IL"/>
        </w:rPr>
        <w:t xml:space="preserve">, 528 U.S. 119, 124 (2000).‎</w:t>
      </w:r>
    </w:p>
  </w:footnote>
  <w:footnote w:id="15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United States v. Armstrong‎</w:t>
      </w:r>
      <w:r>
        <w:rPr>
          <w:rFonts w:ascii="David" w:cs="David" w:eastAsia="David" w:hAnsi="David"/>
          <w:noProof/>
          <w:sz w:val="20"/>
          <w:szCs w:val="20"/>
          <w:rtl w:val="false"/>
          <w:lang w:val="en-US" w:bidi="he-IL"/>
        </w:rPr>
        <w:t xml:space="preserve">, 517 U.S. 456, 465 (1996).‎</w:t>
      </w:r>
    </w:p>
  </w:footnote>
  <w:footnote w:id="15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U.S. Department of Justice, Civil Rights Division, Investigation of the Ferguson Police Department 2, 4 (2015).‎</w:t>
      </w:r>
    </w:p>
  </w:footnote>
  <w:footnote w:id="15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42 U.S.C. § 1983; ‎</w:t>
      </w:r>
      <w:r>
        <w:rPr>
          <w:rFonts w:ascii="David" w:cs="David" w:eastAsia="David" w:hAnsi="David"/>
          <w:i/>
          <w:iCs/>
          <w:noProof/>
          <w:sz w:val="20"/>
          <w:szCs w:val="20"/>
          <w:rtl w:val="false"/>
          <w:lang w:val="en-US" w:bidi="he-IL"/>
        </w:rPr>
        <w:t xml:space="preserve">Monell v. Department of Social Services‎</w:t>
      </w:r>
      <w:r>
        <w:rPr>
          <w:rFonts w:ascii="David" w:cs="David" w:eastAsia="David" w:hAnsi="David"/>
          <w:noProof/>
          <w:sz w:val="20"/>
          <w:szCs w:val="20"/>
          <w:rtl w:val="false"/>
          <w:lang w:val="en-US" w:bidi="he-IL"/>
        </w:rPr>
        <w:t xml:space="preserve">, 436 U.S. 658, 694 (1978).‎</w:t>
      </w:r>
    </w:p>
  </w:footnote>
  <w:footnote w:id="15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34 U.S.C. § 12601.‎</w:t>
      </w:r>
    </w:p>
  </w:footnote>
  <w:footnote w:id="159">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Statement of Interest of the United States at 5, ‎</w:t>
      </w:r>
      <w:r>
        <w:rPr>
          <w:rFonts w:ascii="David" w:cs="David" w:eastAsia="David" w:hAnsi="David"/>
          <w:i/>
          <w:iCs/>
          <w:noProof/>
          <w:sz w:val="20"/>
          <w:szCs w:val="20"/>
          <w:rtl w:val="false"/>
          <w:lang w:val="en-US" w:bidi="he-IL"/>
        </w:rPr>
        <w:t xml:space="preserve">Floyd v. City of New York‎</w:t>
      </w:r>
      <w:r>
        <w:rPr>
          <w:rFonts w:ascii="David" w:cs="David" w:eastAsia="David" w:hAnsi="David"/>
          <w:noProof/>
          <w:sz w:val="20"/>
          <w:szCs w:val="20"/>
          <w:rtl w:val="false"/>
          <w:lang w:val="en-US" w:bidi="he-IL"/>
        </w:rPr>
        <w:t xml:space="preserve">, No. 08-cv-01034 (S.D.N.Y. June 12, 2013).‎</w:t>
      </w:r>
    </w:p>
  </w:footnote>
  <w:footnote w:id="16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DeShaney v. Winnebago County Department of Social Services‎</w:t>
      </w:r>
      <w:r>
        <w:rPr>
          <w:rFonts w:ascii="David" w:cs="David" w:eastAsia="David" w:hAnsi="David"/>
          <w:noProof/>
          <w:sz w:val="20"/>
          <w:szCs w:val="20"/>
          <w:rtl w:val="false"/>
          <w:lang w:val="en-US" w:bidi="he-IL"/>
        </w:rPr>
        <w:t xml:space="preserve">, 489 U.S. 189, 196 (1989).‎</w:t>
      </w:r>
    </w:p>
  </w:footnote>
  <w:footnote w:id="16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Town of Castle Rock v. Gonzales‎</w:t>
      </w:r>
      <w:r>
        <w:rPr>
          <w:rFonts w:ascii="David" w:cs="David" w:eastAsia="David" w:hAnsi="David"/>
          <w:noProof/>
          <w:sz w:val="20"/>
          <w:szCs w:val="20"/>
          <w:rtl w:val="false"/>
          <w:lang w:val="en-US" w:bidi="he-IL"/>
        </w:rPr>
        <w:t xml:space="preserve">, 545 U.S. 748, 768 (2005).‎</w:t>
      </w:r>
    </w:p>
  </w:footnote>
  <w:footnote w:id="16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White v. Beasley‎</w:t>
      </w:r>
      <w:r>
        <w:rPr>
          <w:rFonts w:ascii="David" w:cs="David" w:eastAsia="David" w:hAnsi="David"/>
          <w:noProof/>
          <w:sz w:val="20"/>
          <w:szCs w:val="20"/>
          <w:rtl w:val="false"/>
          <w:lang w:val="en-US" w:bidi="he-IL"/>
        </w:rPr>
        <w:t xml:space="preserve">, 453 Mich. 308 (1996); ‎</w:t>
      </w:r>
      <w:r>
        <w:rPr>
          <w:rFonts w:ascii="David" w:cs="David" w:eastAsia="David" w:hAnsi="David"/>
          <w:i/>
          <w:iCs/>
          <w:noProof/>
          <w:sz w:val="20"/>
          <w:szCs w:val="20"/>
          <w:rtl w:val="false"/>
          <w:lang w:val="en-US" w:bidi="he-IL"/>
        </w:rPr>
        <w:t xml:space="preserve">Cuffy v. City of New York‎</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69 N.Y.2d 255 (1987)‎</w:t>
      </w:r>
      <w:r>
        <w:rPr>
          <w:rFonts w:ascii="David" w:cs="David" w:eastAsia="David" w:hAnsi="David"/>
          <w:noProof/>
          <w:sz w:val="20"/>
          <w:szCs w:val="20"/>
          <w:rtl/>
          <w:lang w:bidi="he-IL"/>
        </w:rPr>
        <w:t xml:space="preserve">; בעז סגל "נזיקין של רשויות במבט השוואתי: הפיצוי הנזיקי – מטרה או אמצעי?" </w:t>
      </w:r>
      <w:r>
        <w:rPr>
          <w:rFonts w:ascii="David" w:cs="David" w:eastAsia="David" w:hAnsi="David"/>
          <w:b/>
          <w:bCs/>
          <w:noProof/>
          <w:sz w:val="20"/>
          <w:szCs w:val="20"/>
          <w:rtl/>
          <w:lang w:bidi="he-IL"/>
        </w:rPr>
        <w:t xml:space="preserve">הפרקליט</w:t>
      </w:r>
      <w:r>
        <w:rPr>
          <w:rFonts w:ascii="David" w:cs="David" w:eastAsia="David" w:hAnsi="David"/>
          <w:noProof/>
          <w:sz w:val="20"/>
          <w:szCs w:val="20"/>
          <w:rtl/>
          <w:lang w:bidi="he-IL"/>
        </w:rPr>
        <w:t xml:space="preserve"> נו 111, 163-162 (התשפ"ד).</w:t>
      </w:r>
    </w:p>
  </w:footnote>
  <w:footnote w:id="163">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155.</w:t>
      </w:r>
    </w:p>
  </w:footnote>
  <w:footnote w:id="164">
    <w:p>
      <w:pPr>
        <w:bidi/>
        <w:spacing w:after="40" w:line="240"/>
        <w:jc w:val="both"/>
      </w:pPr>
      <w:r>
        <w:rPr>
          <w:rStyle w:val="FootnoteReference"/>
        </w:rPr>
        <w:footnoteRef/>
      </w:r>
      <w:r>
        <w:rPr>
          <w:rFonts w:ascii="David" w:cs="David" w:eastAsia="David" w:hAnsi="David"/>
          <w:noProof/>
          <w:sz w:val="20"/>
          <w:szCs w:val="20"/>
          <w:rtl/>
          <w:lang w:bidi="he-IL"/>
        </w:rPr>
        <w:t xml:space="preserve"> ישראל גלעד </w:t>
      </w:r>
      <w:r>
        <w:rPr>
          <w:rFonts w:ascii="David" w:cs="David" w:eastAsia="David" w:hAnsi="David"/>
          <w:b/>
          <w:bCs/>
          <w:noProof/>
          <w:sz w:val="20"/>
          <w:szCs w:val="20"/>
          <w:rtl/>
          <w:lang w:bidi="he-IL"/>
        </w:rPr>
        <w:t xml:space="preserve">דיני נזיקין: גבולות האחריות</w:t>
      </w:r>
      <w:r>
        <w:rPr>
          <w:rFonts w:ascii="David" w:cs="David" w:eastAsia="David" w:hAnsi="David"/>
          <w:noProof/>
          <w:sz w:val="20"/>
          <w:szCs w:val="20"/>
          <w:rtl/>
          <w:lang w:bidi="he-IL"/>
        </w:rPr>
        <w:t xml:space="preserve"> כרך ב 1069 (2012).</w:t>
      </w:r>
    </w:p>
  </w:footnote>
  <w:footnote w:id="16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Police and Criminal Evidence Act 1984‎</w:t>
      </w:r>
      <w:r>
        <w:rPr>
          <w:rFonts w:ascii="David" w:cs="David" w:eastAsia="David" w:hAnsi="David"/>
          <w:noProof/>
          <w:sz w:val="20"/>
          <w:szCs w:val="20"/>
          <w:rtl w:val="false"/>
          <w:lang w:val="en-US" w:bidi="he-IL"/>
        </w:rPr>
        <w:t xml:space="preserve">, c. 60, s. 1 (UK).‎</w:t>
      </w:r>
    </w:p>
  </w:footnote>
  <w:footnote w:id="16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Criminal Justice and Public Order Act 1994‎</w:t>
      </w:r>
      <w:r>
        <w:rPr>
          <w:rFonts w:ascii="David" w:cs="David" w:eastAsia="David" w:hAnsi="David"/>
          <w:noProof/>
          <w:sz w:val="20"/>
          <w:szCs w:val="20"/>
          <w:rtl w:val="false"/>
          <w:lang w:val="en-US" w:bidi="he-IL"/>
        </w:rPr>
        <w:t xml:space="preserve">, c. 33, s. 60 (UK).‎</w:t>
      </w:r>
    </w:p>
  </w:footnote>
  <w:footnote w:id="16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w:t>
      </w:r>
      <w:r>
        <w:rPr>
          <w:rFonts w:ascii="David" w:cs="David" w:eastAsia="David" w:hAnsi="David"/>
          <w:noProof/>
          <w:sz w:val="20"/>
          <w:szCs w:val="20"/>
          <w:rtl w:val="false"/>
          <w:lang w:val="en-US" w:bidi="he-IL"/>
        </w:rPr>
        <w:t xml:space="preserve">2.2B.‎</w:t>
      </w:r>
    </w:p>
  </w:footnote>
  <w:footnote w:id="16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Equality Act 2010‎</w:t>
      </w:r>
      <w:r>
        <w:rPr>
          <w:rFonts w:ascii="David" w:cs="David" w:eastAsia="David" w:hAnsi="David"/>
          <w:noProof/>
          <w:sz w:val="20"/>
          <w:szCs w:val="20"/>
          <w:rtl w:val="false"/>
          <w:lang w:val="en-US" w:bidi="he-IL"/>
        </w:rPr>
        <w:t xml:space="preserve">, c. 15, s. 149 (UK).‎</w:t>
      </w:r>
    </w:p>
  </w:footnote>
  <w:footnote w:id="16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5.1-5.4.</w:t>
      </w:r>
    </w:p>
  </w:footnote>
  <w:footnote w:id="17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Police and Criminal Evidence Act 1984‎</w:t>
      </w:r>
      <w:r>
        <w:rPr>
          <w:rFonts w:ascii="David" w:cs="David" w:eastAsia="David" w:hAnsi="David"/>
          <w:noProof/>
          <w:sz w:val="20"/>
          <w:szCs w:val="20"/>
          <w:rtl w:val="false"/>
          <w:lang w:val="en-US" w:bidi="he-IL"/>
        </w:rPr>
        <w:t xml:space="preserve">, c. 60, ss. 2-3 (UK).‎</w:t>
      </w:r>
    </w:p>
  </w:footnote>
  <w:footnote w:id="17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The Stephen Lawrence Inquiry: Report of an Inquiry by Sir William Macpherson of Cluny, Cm 4262-I, para. 6.34 (1999).‎</w:t>
      </w:r>
    </w:p>
  </w:footnote>
  <w:footnote w:id="172">
    <w:p>
      <w:pPr>
        <w:bidi/>
        <w:spacing w:after="40" w:line="240"/>
        <w:jc w:val="both"/>
      </w:pPr>
      <w:r>
        <w:rPr>
          <w:rStyle w:val="FootnoteReference"/>
        </w:rPr>
        <w:footnoteRef/>
      </w:r>
      <w:r>
        <w:rPr>
          <w:rFonts w:ascii="David" w:cs="David" w:eastAsia="David" w:hAnsi="David"/>
          <w:noProof/>
          <w:sz w:val="20"/>
          <w:szCs w:val="20"/>
          <w:rtl/>
          <w:lang w:bidi="he-IL"/>
        </w:rPr>
        <w:t xml:space="preserve"> שם, בהמלצה 61.</w:t>
      </w:r>
    </w:p>
  </w:footnote>
  <w:footnote w:id="17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 (Roberts) v. Commissioner of Police of the Metropolis‎</w:t>
      </w:r>
      <w:r>
        <w:rPr>
          <w:rFonts w:ascii="David" w:cs="David" w:eastAsia="David" w:hAnsi="David"/>
          <w:noProof/>
          <w:sz w:val="20"/>
          <w:szCs w:val="20"/>
          <w:rtl w:val="false"/>
          <w:lang w:val="en-US" w:bidi="he-IL"/>
        </w:rPr>
        <w:t xml:space="preserve"> [2015] UKSC 79, [41-45].‎</w:t>
      </w:r>
    </w:p>
  </w:footnote>
  <w:footnote w:id="174">
    <w:p>
      <w:pPr>
        <w:bidi/>
        <w:spacing w:after="40" w:line="240"/>
        <w:jc w:val="both"/>
      </w:pPr>
      <w:r>
        <w:rPr>
          <w:rStyle w:val="FootnoteReference"/>
        </w:rPr>
        <w:footnoteRef/>
      </w:r>
      <w:r>
        <w:rPr>
          <w:rFonts w:ascii="David" w:cs="David" w:eastAsia="David" w:hAnsi="David"/>
          <w:noProof/>
          <w:sz w:val="20"/>
          <w:szCs w:val="20"/>
          <w:rtl/>
          <w:lang w:bidi="he-IL"/>
        </w:rPr>
        <w:t xml:space="preserve"> שם, בפס' 46.</w:t>
      </w:r>
    </w:p>
  </w:footnote>
  <w:footnote w:id="175">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HM Inspectorate of Constabulary and Fire &amp; Rescue Services, Disproportionate Use of Police Powers: A Spotlight on Stop and Search and the Use of Force 5-6 (2021).‎</w:t>
      </w:r>
    </w:p>
  </w:footnote>
  <w:footnote w:id="17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Paul Dawson, Anthony DuGuay, Ryan Flanagan &amp; Abigail McNeill, Investigating Disproportionality in Stop and Search in London 8 (2026).‎</w:t>
      </w:r>
    </w:p>
  </w:footnote>
  <w:footnote w:id="17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David Lammy, The Lammy Review: An Independent Review into the Treatment of, and Outcomes for, Black, Asian and Minority Ethnic Individuals in the Criminal Justice System 14 (2017).‎</w:t>
      </w:r>
    </w:p>
  </w:footnote>
  <w:footnote w:id="178">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132-131; </w:t>
      </w:r>
      <w:r>
        <w:rPr>
          <w:rFonts w:ascii="David" w:cs="David" w:eastAsia="David" w:hAnsi="David"/>
          <w:i/>
          <w:iCs/>
          <w:noProof/>
          <w:sz w:val="20"/>
          <w:szCs w:val="20"/>
          <w:rtl w:val="false"/>
          <w:lang w:val="en-US" w:bidi="he-IL"/>
        </w:rPr>
        <w:t xml:space="preserve">Hill v. Chief Constable of West Yorkshire‎</w:t>
      </w:r>
      <w:r>
        <w:rPr>
          <w:rFonts w:ascii="David" w:cs="David" w:eastAsia="David" w:hAnsi="David"/>
          <w:noProof/>
          <w:sz w:val="20"/>
          <w:szCs w:val="20"/>
          <w:rtl w:val="false"/>
          <w:lang w:val="en-US" w:bidi="he-IL"/>
        </w:rPr>
        <w:t xml:space="preserve"> [1989] AC 53 (HL).‎</w:t>
      </w:r>
    </w:p>
  </w:footnote>
  <w:footnote w:id="179">
    <w:p>
      <w:pPr>
        <w:bidi/>
        <w:spacing w:after="40" w:line="240"/>
        <w:jc w:val="both"/>
      </w:pPr>
      <w:r>
        <w:rPr>
          <w:rStyle w:val="FootnoteReference"/>
        </w:rPr>
        <w:footnoteRef/>
      </w:r>
      <w:r>
        <w:rPr>
          <w:rFonts w:ascii="David" w:cs="David" w:eastAsia="David" w:hAnsi="David"/>
          <w:noProof/>
          <w:sz w:val="20"/>
          <w:szCs w:val="20"/>
          <w:rtl/>
          <w:lang w:bidi="he-IL"/>
        </w:rPr>
        <w:t xml:space="preserve"> גלעד, לעיל ה"ש 164, בעמ' 1089-1086.</w:t>
      </w:r>
    </w:p>
  </w:footnote>
  <w:footnote w:id="18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Rigby v. Chief Constable of Northamptonshire‎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[1985] 1 WLR 1242 (QB)‎</w:t>
      </w:r>
      <w:r>
        <w:rPr>
          <w:rFonts w:ascii="David" w:cs="David" w:eastAsia="David" w:hAnsi="David"/>
          <w:noProof/>
          <w:sz w:val="20"/>
          <w:szCs w:val="20"/>
          <w:rtl/>
          <w:lang w:bidi="he-IL"/>
        </w:rPr>
        <w:t xml:space="preserve">; גלעד, לעיל ה"ש 164, בעמ' 1085.</w:t>
      </w:r>
    </w:p>
  </w:footnote>
  <w:footnote w:id="18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Kirkham v. Chief Constable of the Greater Manchester Police‎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[1990] 2 WLR 987 (CA)‎</w:t>
      </w:r>
      <w:r>
        <w:rPr>
          <w:rFonts w:ascii="David" w:cs="David" w:eastAsia="David" w:hAnsi="David"/>
          <w:noProof/>
          <w:sz w:val="20"/>
          <w:szCs w:val="20"/>
          <w:rtl/>
          <w:lang w:bidi="he-IL"/>
        </w:rPr>
        <w:t xml:space="preserve">; סגל, לעיל ה"ש 162, בעמ' 181.</w:t>
      </w:r>
    </w:p>
  </w:footnote>
  <w:footnote w:id="18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Michael v. Chief Constable of South Wales Police‎</w:t>
      </w:r>
      <w:r>
        <w:rPr>
          <w:rFonts w:ascii="David" w:cs="David" w:eastAsia="David" w:hAnsi="David"/>
          <w:noProof/>
          <w:sz w:val="20"/>
          <w:szCs w:val="20"/>
          <w:rtl w:val="false"/>
          <w:lang w:val="en-US" w:bidi="he-IL"/>
        </w:rPr>
        <w:t xml:space="preserve"> [2015] UKSC 2, [115].‎</w:t>
      </w:r>
    </w:p>
  </w:footnote>
  <w:footnote w:id="18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Commissioner of Police of the Metropolis v. DSD‎</w:t>
      </w:r>
      <w:r>
        <w:rPr>
          <w:rFonts w:ascii="David" w:cs="David" w:eastAsia="David" w:hAnsi="David"/>
          <w:noProof/>
          <w:sz w:val="20"/>
          <w:szCs w:val="20"/>
          <w:rtl w:val="false"/>
          <w:lang w:val="en-US" w:bidi="he-IL"/>
        </w:rPr>
        <w:t xml:space="preserve"> [2018] UKSC 11, [29].‎</w:t>
      </w:r>
    </w:p>
  </w:footnote>
  <w:footnote w:id="184">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18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HMICFRS‎</w:t>
      </w:r>
      <w:r>
        <w:rPr>
          <w:rFonts w:ascii="David" w:cs="David" w:eastAsia="David" w:hAnsi="David"/>
          <w:noProof/>
          <w:sz w:val="20"/>
          <w:szCs w:val="20"/>
          <w:rtl/>
          <w:lang w:bidi="he-IL"/>
        </w:rPr>
        <w:t xml:space="preserve">, לעיל ה"ש 175, בעמ' 6.</w:t>
      </w:r>
    </w:p>
  </w:footnote>
  <w:footnote w:id="18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87">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156.</w:t>
      </w:r>
    </w:p>
  </w:footnote>
  <w:footnote w:id="188">
    <w:p>
      <w:pPr>
        <w:bidi/>
        <w:spacing w:after="40" w:line="240"/>
        <w:jc w:val="both"/>
      </w:pPr>
      <w:r>
        <w:rPr>
          <w:rStyle w:val="FootnoteReference"/>
        </w:rPr>
        <w:footnoteRef/>
      </w:r>
      <w:r>
        <w:rPr>
          <w:rFonts w:ascii="David" w:cs="David" w:eastAsia="David" w:hAnsi="David"/>
          <w:noProof/>
          <w:sz w:val="20"/>
          <w:szCs w:val="20"/>
          <w:rtl/>
          <w:lang w:bidi="he-IL"/>
        </w:rPr>
        <w:t xml:space="preserve"> ע"א 3580/06 </w:t>
      </w:r>
      <w:r>
        <w:rPr>
          <w:rFonts w:ascii="David" w:cs="David" w:eastAsia="David" w:hAnsi="David"/>
          <w:b/>
          <w:bCs/>
          <w:noProof/>
          <w:sz w:val="20"/>
          <w:szCs w:val="20"/>
          <w:rtl/>
          <w:lang w:bidi="he-IL"/>
        </w:rPr>
        <w:t xml:space="preserve">עזבון יוסף נ' מדינת ישראל</w:t>
      </w:r>
      <w:r>
        <w:rPr>
          <w:rFonts w:ascii="David" w:cs="David" w:eastAsia="David" w:hAnsi="David"/>
          <w:noProof/>
          <w:sz w:val="20"/>
          <w:szCs w:val="20"/>
          <w:rtl/>
          <w:lang w:bidi="he-IL"/>
        </w:rPr>
        <w:t xml:space="preserve">, פס' 89 (נבו 21.3.2011); ע"א 1678/01 </w:t>
      </w:r>
      <w:r>
        <w:rPr>
          <w:rFonts w:ascii="David" w:cs="David" w:eastAsia="David" w:hAnsi="David"/>
          <w:b/>
          <w:bCs/>
          <w:noProof/>
          <w:sz w:val="20"/>
          <w:szCs w:val="20"/>
          <w:rtl/>
          <w:lang w:bidi="he-IL"/>
        </w:rPr>
        <w:t xml:space="preserve">מדינת ישראל נ' וייס</w:t>
      </w:r>
      <w:r>
        <w:rPr>
          <w:rFonts w:ascii="David" w:cs="David" w:eastAsia="David" w:hAnsi="David"/>
          <w:noProof/>
          <w:sz w:val="20"/>
          <w:szCs w:val="20"/>
          <w:rtl/>
          <w:lang w:bidi="he-IL"/>
        </w:rPr>
        <w:t xml:space="preserve">, פ"ד נח(5) 167, 181 (2004).</w:t>
      </w:r>
    </w:p>
  </w:footnote>
  <w:footnote w:id="189">
    <w:p>
      <w:pPr>
        <w:bidi/>
        <w:spacing w:after="40" w:line="240"/>
        <w:jc w:val="both"/>
      </w:pPr>
      <w:r>
        <w:rPr>
          <w:rStyle w:val="FootnoteReference"/>
        </w:rPr>
        <w:footnoteRef/>
      </w:r>
      <w:r>
        <w:rPr>
          <w:rFonts w:ascii="David" w:cs="David" w:eastAsia="David" w:hAnsi="David"/>
          <w:noProof/>
          <w:sz w:val="20"/>
          <w:szCs w:val="20"/>
          <w:rtl/>
          <w:lang w:bidi="he-IL"/>
        </w:rPr>
        <w:t xml:space="preserve"> ס' 3 לחוק הנזיקים האזרחיים (אחריות המדינה), התשי"ב–1952; סגל, לעיל ה"ש 162, בעמ' 141.</w:t>
      </w:r>
    </w:p>
  </w:footnote>
  <w:footnote w:id="190">
    <w:p>
      <w:pPr>
        <w:bidi/>
        <w:spacing w:after="40" w:line="240"/>
        <w:jc w:val="both"/>
      </w:pPr>
      <w:r>
        <w:rPr>
          <w:rStyle w:val="FootnoteReference"/>
        </w:rPr>
        <w:footnoteRef/>
      </w:r>
      <w:r>
        <w:rPr>
          <w:rFonts w:ascii="David" w:cs="David" w:eastAsia="David" w:hAnsi="David"/>
          <w:noProof/>
          <w:sz w:val="20"/>
          <w:szCs w:val="20"/>
          <w:rtl/>
          <w:lang w:bidi="he-IL"/>
        </w:rPr>
        <w:t xml:space="preserve"> ע"א 2394/18 </w:t>
      </w:r>
      <w:r>
        <w:rPr>
          <w:rFonts w:ascii="David" w:cs="David" w:eastAsia="David" w:hAnsi="David"/>
          <w:b/>
          <w:bCs/>
          <w:noProof/>
          <w:sz w:val="20"/>
          <w:szCs w:val="20"/>
          <w:rtl/>
          <w:lang w:bidi="he-IL"/>
        </w:rPr>
        <w:t xml:space="preserve">פלונים נ' משטרת ישראל</w:t>
      </w:r>
      <w:r>
        <w:rPr>
          <w:rFonts w:ascii="David" w:cs="David" w:eastAsia="David" w:hAnsi="David"/>
          <w:noProof/>
          <w:sz w:val="20"/>
          <w:szCs w:val="20"/>
          <w:rtl/>
          <w:lang w:bidi="he-IL"/>
        </w:rPr>
        <w:t xml:space="preserve"> (נבו 10.4.2019); סגל, לעיל ה"ש 162, בעמ' 209.</w:t>
      </w:r>
    </w:p>
  </w:footnote>
  <w:footnote w:id="191">
    <w:p>
      <w:pPr>
        <w:bidi/>
        <w:spacing w:after="40" w:line="240"/>
        <w:jc w:val="both"/>
      </w:pPr>
      <w:r>
        <w:rPr>
          <w:rStyle w:val="FootnoteReference"/>
        </w:rPr>
        <w:footnoteRef/>
      </w:r>
      <w:r>
        <w:rPr>
          <w:rFonts w:ascii="David" w:cs="David" w:eastAsia="David" w:hAnsi="David"/>
          <w:noProof/>
          <w:sz w:val="20"/>
          <w:szCs w:val="20"/>
          <w:rtl/>
          <w:lang w:bidi="he-IL"/>
        </w:rPr>
        <w:t xml:space="preserve"> גלעד, לעיל ה"ש 164, בעמ' 1062.</w:t>
      </w:r>
    </w:p>
  </w:footnote>
  <w:footnote w:id="192">
    <w:p>
      <w:pPr>
        <w:bidi/>
        <w:spacing w:after="40" w:line="240"/>
        <w:jc w:val="both"/>
      </w:pPr>
      <w:r>
        <w:rPr>
          <w:rStyle w:val="FootnoteReference"/>
        </w:rPr>
        <w:footnoteRef/>
      </w:r>
      <w:r>
        <w:rPr>
          <w:rFonts w:ascii="David" w:cs="David" w:eastAsia="David" w:hAnsi="David"/>
          <w:noProof/>
          <w:sz w:val="20"/>
          <w:szCs w:val="20"/>
          <w:rtl/>
          <w:lang w:bidi="he-IL"/>
        </w:rPr>
        <w:t xml:space="preserve"> דרומי, לעיל ה"ש 117, בעמ' 227.</w:t>
      </w:r>
    </w:p>
  </w:footnote>
  <w:footnote w:id="193">
    <w:p>
      <w:pPr>
        <w:bidi/>
        <w:spacing w:after="40" w:line="240"/>
        <w:jc w:val="both"/>
      </w:pPr>
      <w:r>
        <w:rPr>
          <w:rStyle w:val="FootnoteReference"/>
        </w:rPr>
        <w:footnoteRef/>
      </w:r>
      <w:r>
        <w:rPr>
          <w:rFonts w:ascii="David" w:cs="David" w:eastAsia="David" w:hAnsi="David"/>
          <w:noProof/>
          <w:sz w:val="20"/>
          <w:szCs w:val="20"/>
          <w:rtl/>
          <w:lang w:bidi="he-IL"/>
        </w:rPr>
        <w:t xml:space="preserve"> אהרן ברק </w:t>
      </w:r>
      <w:r>
        <w:rPr>
          <w:rFonts w:ascii="David" w:cs="David" w:eastAsia="David" w:hAnsi="David"/>
          <w:b/>
          <w:bCs/>
          <w:noProof/>
          <w:sz w:val="20"/>
          <w:szCs w:val="20"/>
          <w:rtl/>
          <w:lang w:bidi="he-IL"/>
        </w:rPr>
        <w:t xml:space="preserve">פרשנות במשפט</w:t>
      </w:r>
      <w:r>
        <w:rPr>
          <w:rFonts w:ascii="David" w:cs="David" w:eastAsia="David" w:hAnsi="David"/>
          <w:noProof/>
          <w:sz w:val="20"/>
          <w:szCs w:val="20"/>
          <w:rtl/>
          <w:lang w:bidi="he-IL"/>
        </w:rPr>
        <w:t xml:space="preserve"> כרך ג: פרשנות חוקתית 777 (1994).</w:t>
      </w:r>
    </w:p>
  </w:footnote>
  <w:footnote w:id="194">
    <w:p>
      <w:pPr>
        <w:bidi/>
        <w:spacing w:after="40" w:line="240"/>
        <w:jc w:val="both"/>
      </w:pPr>
      <w:r>
        <w:rPr>
          <w:rStyle w:val="FootnoteReference"/>
        </w:rPr>
        <w:footnoteRef/>
      </w:r>
      <w:r>
        <w:rPr>
          <w:rFonts w:ascii="David" w:cs="David" w:eastAsia="David" w:hAnsi="David"/>
          <w:noProof/>
          <w:sz w:val="20"/>
          <w:szCs w:val="20"/>
          <w:rtl/>
          <w:lang w:bidi="he-IL"/>
        </w:rPr>
        <w:t xml:space="preserve"> ע"א 337/81 </w:t>
      </w:r>
      <w:r>
        <w:rPr>
          <w:rFonts w:ascii="David" w:cs="David" w:eastAsia="David" w:hAnsi="David"/>
          <w:b/>
          <w:bCs/>
          <w:noProof/>
          <w:sz w:val="20"/>
          <w:szCs w:val="20"/>
          <w:rtl/>
          <w:lang w:bidi="he-IL"/>
        </w:rPr>
        <w:t xml:space="preserve">בוסקילה נ' מדינת ישראל</w:t>
      </w:r>
      <w:r>
        <w:rPr>
          <w:rFonts w:ascii="David" w:cs="David" w:eastAsia="David" w:hAnsi="David"/>
          <w:noProof/>
          <w:sz w:val="20"/>
          <w:szCs w:val="20"/>
          <w:rtl/>
          <w:lang w:bidi="he-IL"/>
        </w:rPr>
        <w:t xml:space="preserve">, פ"ד לח(3) 337 (1984); סגל, לעיל ה"ש 162, בעמ' 196.</w:t>
      </w:r>
    </w:p>
  </w:footnote>
  <w:footnote w:id="195">
    <w:p>
      <w:pPr>
        <w:bidi/>
        <w:spacing w:after="40" w:line="240"/>
        <w:jc w:val="both"/>
      </w:pPr>
      <w:r>
        <w:rPr>
          <w:rStyle w:val="FootnoteReference"/>
        </w:rPr>
        <w:footnoteRef/>
      </w:r>
      <w:r>
        <w:rPr>
          <w:rFonts w:ascii="David" w:cs="David" w:eastAsia="David" w:hAnsi="David"/>
          <w:noProof/>
          <w:sz w:val="20"/>
          <w:szCs w:val="20"/>
          <w:rtl/>
          <w:lang w:bidi="he-IL"/>
        </w:rPr>
        <w:t xml:space="preserve"> בג"ץ 5078/20 </w:t>
      </w:r>
      <w:r>
        <w:rPr>
          <w:rFonts w:ascii="David" w:cs="David" w:eastAsia="David" w:hAnsi="David"/>
          <w:b/>
          <w:bCs/>
          <w:noProof/>
          <w:sz w:val="20"/>
          <w:szCs w:val="20"/>
          <w:rtl/>
          <w:lang w:bidi="he-IL"/>
        </w:rPr>
        <w:t xml:space="preserve">פדידה נ' משטרת ישראל – מפקד מחוז ירושלים</w:t>
      </w:r>
      <w:r>
        <w:rPr>
          <w:rFonts w:ascii="David" w:cs="David" w:eastAsia="David" w:hAnsi="David"/>
          <w:noProof/>
          <w:sz w:val="20"/>
          <w:szCs w:val="20"/>
          <w:rtl/>
          <w:lang w:bidi="he-IL"/>
        </w:rPr>
        <w:t xml:space="preserve">, פסק דינה של השופטת וילנר (נבו 19.8.2020).</w:t>
      </w:r>
    </w:p>
  </w:footnote>
  <w:footnote w:id="19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Macpherson Report‎</w:t>
      </w:r>
      <w:r>
        <w:rPr>
          <w:rFonts w:ascii="David" w:cs="David" w:eastAsia="David" w:hAnsi="David"/>
          <w:noProof/>
          <w:sz w:val="20"/>
          <w:szCs w:val="20"/>
          <w:rtl/>
          <w:lang w:bidi="he-IL"/>
        </w:rPr>
        <w:t xml:space="preserve">, לעיל ה"ש 171, בפס' 1.1-1.3.</w:t>
      </w:r>
    </w:p>
  </w:footnote>
  <w:footnote w:id="19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HMICFRS‎</w:t>
      </w:r>
      <w:r>
        <w:rPr>
          <w:rFonts w:ascii="David" w:cs="David" w:eastAsia="David" w:hAnsi="David"/>
          <w:noProof/>
          <w:sz w:val="20"/>
          <w:szCs w:val="20"/>
          <w:rtl/>
          <w:lang w:bidi="he-IL"/>
        </w:rPr>
        <w:t xml:space="preserve">, לעיל ה"ש 175, בעמ' 5.</w:t>
      </w:r>
    </w:p>
  </w:footnote>
  <w:footnote w:id="19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Hinkle et al.‎</w:t>
      </w:r>
      <w:r>
        <w:rPr>
          <w:rFonts w:ascii="David" w:cs="David" w:eastAsia="David" w:hAnsi="David"/>
          <w:noProof/>
          <w:sz w:val="20"/>
          <w:szCs w:val="20"/>
          <w:rtl/>
          <w:lang w:bidi="he-IL"/>
        </w:rPr>
        <w:t xml:space="preserve">, לעיל ה"ש 24, בס' 5.1, 5.5, 6.1.</w:t>
      </w:r>
    </w:p>
  </w:footnote>
  <w:footnote w:id="19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Braga, Papachristos &amp; Hureau‎</w:t>
      </w:r>
      <w:r>
        <w:rPr>
          <w:rFonts w:ascii="David" w:cs="David" w:eastAsia="David" w:hAnsi="David"/>
          <w:noProof/>
          <w:sz w:val="20"/>
          <w:szCs w:val="20"/>
          <w:rtl/>
          <w:lang w:bidi="he-IL"/>
        </w:rPr>
        <w:t xml:space="preserve">, לעיל ה"ש 26, בעמ' </w:t>
      </w:r>
      <w:r>
        <w:rPr>
          <w:rFonts w:ascii="David" w:cs="David" w:eastAsia="David" w:hAnsi="David"/>
          <w:noProof/>
          <w:sz w:val="20"/>
          <w:szCs w:val="20"/>
          <w:rtl w:val="false"/>
          <w:lang w:val="en-US" w:bidi="he-IL"/>
        </w:rPr>
        <w:t xml:space="preserve">24-26; Braga, Weisburd &amp; Turchan‎</w:t>
      </w:r>
      <w:r>
        <w:rPr>
          <w:rFonts w:ascii="David" w:cs="David" w:eastAsia="David" w:hAnsi="David"/>
          <w:noProof/>
          <w:sz w:val="20"/>
          <w:szCs w:val="20"/>
          <w:rtl/>
          <w:lang w:bidi="he-IL"/>
        </w:rPr>
        <w:t xml:space="preserve">, לעיל ה"ש 27, בס' 2.6, 7.1.</w:t>
      </w:r>
    </w:p>
  </w:footnote>
  <w:footnote w:id="200">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201">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"עבירות אלימות", לעיל ה"ש 130, בעמ' 248; ליטמנוביץ ואחרים, לעיל ה"ש 34, בעמ' 240.</w:t>
      </w:r>
    </w:p>
  </w:footnote>
  <w:footnote w:id="20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118, 301.</w:t>
      </w:r>
    </w:p>
  </w:footnote>
  <w:footnote w:id="203">
    <w:p>
      <w:pPr>
        <w:bidi/>
        <w:spacing w:after="40" w:line="240"/>
        <w:jc w:val="both"/>
      </w:pPr>
      <w:r>
        <w:rPr>
          <w:rStyle w:val="FootnoteReference"/>
        </w:rPr>
        <w:footnoteRef/>
      </w:r>
      <w:r>
        <w:rPr>
          <w:rFonts w:ascii="David" w:cs="David" w:eastAsia="David" w:hAnsi="David"/>
          <w:noProof/>
          <w:sz w:val="20"/>
          <w:szCs w:val="20"/>
          <w:rtl/>
          <w:lang w:bidi="he-IL"/>
        </w:rPr>
        <w:t xml:space="preserve"> שם, בעמ' 209-210.</w:t>
      </w:r>
    </w:p>
  </w:footnote>
  <w:footnote w:id="20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5-4; חסייסי וליטמנוביץ, לעיל ה"ש 33, בעמ' 124.</w:t>
      </w:r>
    </w:p>
  </w:footnote>
  <w:footnote w:id="205">
    <w:p>
      <w:pPr>
        <w:bidi/>
        <w:spacing w:after="40" w:line="240"/>
        <w:jc w:val="both"/>
      </w:pPr>
      <w:r>
        <w:rPr>
          <w:rStyle w:val="FootnoteReference"/>
        </w:rPr>
        <w:footnoteRef/>
      </w:r>
      <w:r>
        <w:rPr>
          <w:rFonts w:ascii="David" w:cs="David" w:eastAsia="David" w:hAnsi="David"/>
          <w:noProof/>
          <w:sz w:val="20"/>
          <w:szCs w:val="20"/>
          <w:rtl/>
          <w:lang w:bidi="he-IL"/>
        </w:rPr>
        <w:t xml:space="preserve"> אלרן ואחרים, לעיל ה"ש 77, בעמ' 4-3.</w:t>
      </w:r>
    </w:p>
  </w:footnote>
  <w:footnote w:id="20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163.</w:t>
      </w:r>
    </w:p>
  </w:footnote>
  <w:footnote w:id="20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Eck &amp; Spelman‎</w:t>
      </w:r>
      <w:r>
        <w:rPr>
          <w:rFonts w:ascii="David" w:cs="David" w:eastAsia="David" w:hAnsi="David"/>
          <w:noProof/>
          <w:sz w:val="20"/>
          <w:szCs w:val="20"/>
          <w:rtl/>
          <w:lang w:bidi="he-IL"/>
        </w:rPr>
        <w:t xml:space="preserve">, לעיל ה"ש 23, בעמ' </w:t>
      </w:r>
      <w:r>
        <w:rPr>
          <w:rFonts w:ascii="David" w:cs="David" w:eastAsia="David" w:hAnsi="David"/>
          <w:noProof/>
          <w:sz w:val="20"/>
          <w:szCs w:val="20"/>
          <w:rtl w:val="false"/>
          <w:lang w:val="en-US" w:bidi="he-IL"/>
        </w:rPr>
        <w:t xml:space="preserve">xix.‎</w:t>
      </w:r>
    </w:p>
  </w:footnote>
  <w:footnote w:id="20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238.</w:t>
      </w:r>
    </w:p>
  </w:footnote>
  <w:footnote w:id="209">
    <w:p>
      <w:pPr>
        <w:bidi/>
        <w:spacing w:after="40" w:line="240"/>
        <w:jc w:val="both"/>
      </w:pPr>
      <w:r>
        <w:rPr>
          <w:rStyle w:val="FootnoteReference"/>
        </w:rPr>
        <w:footnoteRef/>
      </w:r>
      <w:r>
        <w:rPr>
          <w:rFonts w:ascii="David" w:cs="David" w:eastAsia="David" w:hAnsi="David"/>
          <w:noProof/>
          <w:sz w:val="20"/>
          <w:szCs w:val="20"/>
          <w:rtl/>
          <w:lang w:bidi="he-IL"/>
        </w:rPr>
        <w:t xml:space="preserve"> שם, בעמ' 240.</w:t>
      </w:r>
    </w:p>
  </w:footnote>
  <w:footnote w:id="210">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National Network for Safe Communities, Group Violence Intervention: An Implementation Guide 5 (2015).‎</w:t>
      </w:r>
    </w:p>
  </w:footnote>
  <w:footnote w:id="21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227.</w:t>
      </w:r>
    </w:p>
  </w:footnote>
  <w:footnote w:id="212">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213">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21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7-6.</w:t>
      </w:r>
    </w:p>
  </w:footnote>
  <w:footnote w:id="215">
    <w:p>
      <w:pPr>
        <w:bidi/>
        <w:spacing w:after="40" w:line="240"/>
        <w:jc w:val="both"/>
      </w:pPr>
      <w:r>
        <w:rPr>
          <w:rStyle w:val="FootnoteReference"/>
        </w:rPr>
        <w:footnoteRef/>
      </w:r>
      <w:r>
        <w:rPr>
          <w:rFonts w:ascii="David" w:cs="David" w:eastAsia="David" w:hAnsi="David"/>
          <w:noProof/>
          <w:sz w:val="20"/>
          <w:szCs w:val="20"/>
          <w:rtl/>
          <w:lang w:bidi="he-IL"/>
        </w:rPr>
        <w:t xml:space="preserve"> פדן, לעיל ה"ש 67, בעמ' 430 וה"ש 67.</w:t>
      </w:r>
    </w:p>
  </w:footnote>
  <w:footnote w:id="21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w:t>
      </w:r>
    </w:p>
  </w:footnote>
  <w:footnote w:id="217">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3.</w:t>
      </w:r>
    </w:p>
  </w:footnote>
  <w:footnote w:id="218">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2021</w:t>
      </w:r>
      <w:r>
        <w:rPr>
          <w:rFonts w:ascii="David" w:cs="David" w:eastAsia="David" w:hAnsi="David"/>
          <w:noProof/>
          <w:sz w:val="20"/>
          <w:szCs w:val="20"/>
          <w:rtl/>
          <w:lang w:bidi="he-IL"/>
        </w:rPr>
        <w:t xml:space="preserve">, לעיל ה"ש 2, בעמ' 4.</w:t>
      </w:r>
    </w:p>
  </w:footnote>
  <w:footnote w:id="219">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4.</w:t>
      </w:r>
    </w:p>
  </w:footnote>
  <w:footnote w:id="22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Goldstein‎</w:t>
      </w:r>
      <w:r>
        <w:rPr>
          <w:rFonts w:ascii="David" w:cs="David" w:eastAsia="David" w:hAnsi="David"/>
          <w:noProof/>
          <w:sz w:val="20"/>
          <w:szCs w:val="20"/>
          <w:rtl/>
          <w:lang w:bidi="he-IL"/>
        </w:rPr>
        <w:t xml:space="preserve">, לעיל ה"ש 9, בעמ' 236.</w:t>
      </w:r>
    </w:p>
  </w:footnote>
  <w:footnote w:id="22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222">
    <w:p>
      <w:pPr>
        <w:bidi/>
        <w:spacing w:after="40" w:line="240"/>
        <w:jc w:val="both"/>
      </w:pPr>
      <w:r>
        <w:rPr>
          <w:rStyle w:val="FootnoteReference"/>
        </w:rPr>
        <w:footnoteRef/>
      </w:r>
      <w:r>
        <w:rPr>
          <w:rFonts w:ascii="David" w:cs="David" w:eastAsia="David" w:hAnsi="David"/>
          <w:noProof/>
          <w:sz w:val="20"/>
          <w:szCs w:val="20"/>
          <w:rtl/>
          <w:lang w:bidi="he-IL"/>
        </w:rPr>
        <w:t xml:space="preserve"> שם, בעמ' 243.</w:t>
      </w:r>
    </w:p>
  </w:footnote>
  <w:footnote w:id="223">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6.</w:t>
      </w:r>
    </w:p>
  </w:footnote>
  <w:footnote w:id="224">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noProof/>
          <w:sz w:val="20"/>
          <w:szCs w:val="20"/>
          <w:rtl/>
          <w:lang w:bidi="he-IL"/>
        </w:rPr>
        <w:t xml:space="preserve">ספר אליקים רובינשטיין</w:t>
      </w:r>
      <w:r>
        <w:rPr>
          <w:rFonts w:ascii="David" w:cs="David" w:eastAsia="David" w:hAnsi="David"/>
          <w:noProof/>
          <w:sz w:val="20"/>
          <w:szCs w:val="20"/>
          <w:rtl/>
          <w:lang w:bidi="he-IL"/>
        </w:rPr>
        <w:t xml:space="preserve"> 1817, 1849 (מרים ביטון עורכת, 2020).</w:t>
      </w:r>
    </w:p>
  </w:footnote>
  <w:footnote w:id="225">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"עמדות הציבור", לעיל ה"ש 142, בעמ' 304, 302.</w:t>
      </w:r>
    </w:p>
  </w:footnote>
  <w:footnote w:id="22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Bell‎</w:t>
      </w:r>
      <w:r>
        <w:rPr>
          <w:rFonts w:ascii="David" w:cs="David" w:eastAsia="David" w:hAnsi="David"/>
          <w:noProof/>
          <w:sz w:val="20"/>
          <w:szCs w:val="20"/>
          <w:rtl/>
          <w:lang w:bidi="he-IL"/>
        </w:rPr>
        <w:t xml:space="preserve">, לעיל ה"ש 36, בעמ' 2054.</w:t>
      </w:r>
    </w:p>
  </w:footnote>
  <w:footnote w:id="227">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228">
    <w:p>
      <w:pPr>
        <w:bidi/>
        <w:spacing w:after="40" w:line="240"/>
        <w:jc w:val="both"/>
      </w:pPr>
      <w:r>
        <w:rPr>
          <w:rStyle w:val="FootnoteReference"/>
        </w:rPr>
        <w:footnoteRef/>
      </w:r>
      <w:r>
        <w:rPr>
          <w:rFonts w:ascii="David" w:cs="David" w:eastAsia="David" w:hAnsi="David"/>
          <w:noProof/>
          <w:sz w:val="20"/>
          <w:szCs w:val="20"/>
          <w:rtl/>
          <w:lang w:bidi="he-IL"/>
        </w:rPr>
        <w:t xml:space="preserve"> הרדוף "ויתור, הידברות, בג"ץ", לעיל ה"ש 224, בעמ' 1843.</w:t>
      </w:r>
    </w:p>
  </w:footnote>
  <w:footnote w:id="22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w:t>
      </w:r>
      <w:r>
        <w:rPr>
          <w:rFonts w:ascii="David" w:cs="David" w:eastAsia="David" w:hAnsi="David"/>
          <w:noProof/>
          <w:sz w:val="20"/>
          <w:szCs w:val="20"/>
          <w:rtl w:val="false"/>
          <w:lang w:val="en-US" w:bidi="he-IL"/>
        </w:rPr>
        <w:t xml:space="preserve">2.2B.‎</w:t>
      </w:r>
    </w:p>
  </w:footnote>
  <w:footnote w:id="23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Macpherson Report‎</w:t>
      </w:r>
      <w:r>
        <w:rPr>
          <w:rFonts w:ascii="David" w:cs="David" w:eastAsia="David" w:hAnsi="David"/>
          <w:noProof/>
          <w:sz w:val="20"/>
          <w:szCs w:val="20"/>
          <w:rtl/>
          <w:lang w:bidi="he-IL"/>
        </w:rPr>
        <w:t xml:space="preserve">, לעיל ה"ש 171, בהמלצה 61.</w:t>
      </w:r>
    </w:p>
  </w:footnote>
  <w:footnote w:id="23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5.1.</w:t>
      </w:r>
    </w:p>
  </w:footnote>
  <w:footnote w:id="23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Roberts‎</w:t>
      </w:r>
      <w:r>
        <w:rPr>
          <w:rFonts w:ascii="David" w:cs="David" w:eastAsia="David" w:hAnsi="David"/>
          <w:noProof/>
          <w:sz w:val="20"/>
          <w:szCs w:val="20"/>
          <w:rtl/>
          <w:lang w:bidi="he-IL"/>
        </w:rPr>
        <w:t xml:space="preserve">, לעיל ה"ש 173, בפס' 44-47.</w:t>
      </w:r>
    </w:p>
  </w:footnote>
  <w:footnote w:id="23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234">
    <w:p>
      <w:pPr>
        <w:bidi/>
        <w:spacing w:after="40" w:line="240"/>
        <w:jc w:val="both"/>
      </w:pPr>
      <w:r>
        <w:rPr>
          <w:rStyle w:val="FootnoteReference"/>
        </w:rPr>
        <w:footnoteRef/>
      </w:r>
      <w:r>
        <w:rPr>
          <w:rFonts w:ascii="David" w:cs="David" w:eastAsia="David" w:hAnsi="David"/>
          <w:noProof/>
          <w:sz w:val="20"/>
          <w:szCs w:val="20"/>
          <w:rtl/>
          <w:lang w:bidi="he-IL"/>
        </w:rPr>
        <w:t xml:space="preserve"> רותם קדוש נוסבאום "פגיעה בזכויות אדם בשל שימוש משטרתי באמצעים טכנולוגיים למעקב ושיטור מנבא" </w:t>
      </w:r>
      <w:r>
        <w:rPr>
          <w:rFonts w:ascii="David" w:cs="David" w:eastAsia="David" w:hAnsi="David"/>
          <w:b/>
          <w:bCs/>
          <w:noProof/>
          <w:sz w:val="20"/>
          <w:szCs w:val="20"/>
          <w:rtl/>
          <w:lang w:bidi="he-IL"/>
        </w:rPr>
        <w:t xml:space="preserve">המשפט</w:t>
      </w:r>
      <w:r>
        <w:rPr>
          <w:rFonts w:ascii="David" w:cs="David" w:eastAsia="David" w:hAnsi="David"/>
          <w:noProof/>
          <w:sz w:val="20"/>
          <w:szCs w:val="20"/>
          <w:rtl/>
          <w:lang w:bidi="he-IL"/>
        </w:rPr>
        <w:t xml:space="preserve"> לא 79, 112 (התשפ"ו).</w:t>
      </w:r>
    </w:p>
  </w:footnote>
  <w:footnote w:id="235">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598.</w:t>
      </w:r>
    </w:p>
  </w:footnote>
  <w:footnote w:id="23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Kent Roach, ‎</w:t>
      </w:r>
      <w:r>
        <w:rPr>
          <w:rFonts w:ascii="David" w:cs="David" w:eastAsia="David" w:hAnsi="David"/>
          <w:i/>
          <w:iCs/>
          <w:noProof/>
          <w:sz w:val="20"/>
          <w:szCs w:val="20"/>
          <w:rtl w:val="false"/>
          <w:lang w:val="en-US" w:bidi="he-IL"/>
        </w:rPr>
        <w:t xml:space="preserve">Models of Civilian Police Review: The Objectives and Mechanisms of Legal and Political Regulation of the Police‎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61 CRIM. L.Q. 29 (2014)‎</w:t>
      </w:r>
      <w:r>
        <w:rPr>
          <w:rFonts w:ascii="David" w:cs="David" w:eastAsia="David" w:hAnsi="David"/>
          <w:noProof/>
          <w:sz w:val="20"/>
          <w:szCs w:val="20"/>
          <w:rtl/>
          <w:lang w:bidi="he-IL"/>
        </w:rPr>
        <w:t xml:space="preserve">, כמובא אצל פורום המרצות והמרצים, לעיל ה"ש 19, בעמ' 600.</w:t>
      </w:r>
    </w:p>
  </w:footnote>
  <w:footnote w:id="23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Stephen Halpern, ‎</w:t>
      </w:r>
      <w:r>
        <w:rPr>
          <w:rFonts w:ascii="David" w:cs="David" w:eastAsia="David" w:hAnsi="David"/>
          <w:i/>
          <w:iCs/>
          <w:noProof/>
          <w:sz w:val="20"/>
          <w:szCs w:val="20"/>
          <w:rtl w:val="false"/>
          <w:lang w:val="en-US" w:bidi="he-IL"/>
        </w:rPr>
        <w:t xml:space="preserve">Police Employee Organizations and Accountability Procedures in Three Cities: Some Reflections on Police Policy-Making‎</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8 LAW &amp; SOC'Y REV. 561 (1974)‎</w:t>
      </w:r>
      <w:r>
        <w:rPr>
          <w:rFonts w:ascii="David" w:cs="David" w:eastAsia="David" w:hAnsi="David"/>
          <w:noProof/>
          <w:sz w:val="20"/>
          <w:szCs w:val="20"/>
          <w:rtl/>
          <w:lang w:bidi="he-I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noProof/>
          <w:sz w:val="20"/>
          <w:szCs w:val="20"/>
          <w:rtl/>
          <w:lang w:bidi="he-IL"/>
        </w:rPr>
        <w:t xml:space="preserve">עבודה, חברה ומשפט</w:t>
      </w:r>
      <w:r>
        <w:rPr>
          <w:rFonts w:ascii="David" w:cs="David" w:eastAsia="David" w:hAnsi="David"/>
          <w:noProof/>
          <w:sz w:val="20"/>
          <w:szCs w:val="20"/>
          <w:rtl/>
          <w:lang w:bidi="he-IL"/>
        </w:rPr>
        <w:t xml:space="preserve"> טז 27, 35 (2020).</w:t>
      </w:r>
    </w:p>
  </w:footnote>
  <w:footnote w:id="238">
    <w:p>
      <w:pPr>
        <w:bidi/>
        <w:spacing w:after="40" w:line="240"/>
        <w:jc w:val="both"/>
      </w:pPr>
      <w:r>
        <w:rPr>
          <w:rStyle w:val="FootnoteReference"/>
        </w:rPr>
        <w:footnoteRef/>
      </w:r>
      <w:r>
        <w:rPr>
          <w:rFonts w:ascii="David" w:cs="David" w:eastAsia="David" w:hAnsi="David"/>
          <w:noProof/>
          <w:sz w:val="20"/>
          <w:szCs w:val="20"/>
          <w:rtl/>
          <w:lang w:bidi="he-IL"/>
        </w:rPr>
        <w:t xml:space="preserve"> ס' 7 לחוק-יסוד: כבוד האדם וחירותו; חוק הגנת הפרטיות, התשמ"א–1981.</w:t>
      </w:r>
    </w:p>
  </w:footnote>
  <w:footnote w:id="239">
    <w:p>
      <w:pPr>
        <w:bidi/>
        <w:spacing w:after="40" w:line="240"/>
        <w:jc w:val="both"/>
      </w:pPr>
      <w:r>
        <w:rPr>
          <w:rStyle w:val="FootnoteReference"/>
        </w:rPr>
        <w:footnoteRef/>
      </w:r>
      <w:r>
        <w:rPr>
          <w:rFonts w:ascii="David" w:cs="David" w:eastAsia="David" w:hAnsi="David"/>
          <w:noProof/>
          <w:sz w:val="20"/>
          <w:szCs w:val="20"/>
          <w:rtl/>
          <w:lang w:bidi="he-IL"/>
        </w:rPr>
        <w:t xml:space="preserve"> הרדוף "ויתור, הידברות, בג"ץ", לעיל ה"ש 224, בעמ' 1844.</w:t>
      </w:r>
    </w:p>
  </w:footnote>
  <w:footnote w:id="24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Sunshine &amp; Tyler‎</w:t>
      </w:r>
      <w:r>
        <w:rPr>
          <w:rFonts w:ascii="David" w:cs="David" w:eastAsia="David" w:hAnsi="David"/>
          <w:noProof/>
          <w:sz w:val="20"/>
          <w:szCs w:val="20"/>
          <w:rtl/>
          <w:lang w:bidi="he-IL"/>
        </w:rPr>
        <w:t xml:space="preserve">, לעיל ה"ש 11, בעמ' 513.</w:t>
      </w:r>
    </w:p>
  </w:footnote>
  <w:footnote w:id="24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Skogan‎</w:t>
      </w:r>
      <w:r>
        <w:rPr>
          <w:rFonts w:ascii="David" w:cs="David" w:eastAsia="David" w:hAnsi="David"/>
          <w:noProof/>
          <w:sz w:val="20"/>
          <w:szCs w:val="20"/>
          <w:rtl/>
          <w:lang w:bidi="he-I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2026-09-25T21:08:33.347Z</dcterms:created>
  <dcterms:modified xsi:type="dcterms:W3CDTF">2026-09-25T21:08:33.347Z</dcterms:modified>
</cp:coreProperties>
</file>

<file path=docProps/custom.xml><?xml version="1.0" encoding="utf-8"?>
<Properties xmlns="http://schemas.openxmlformats.org/officeDocument/2006/custom-properties" xmlns:vt="http://schemas.openxmlformats.org/officeDocument/2006/docPropsVTypes"/>
</file>