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נבחן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 פיקוח חברתי בלתי פורמלי, חיברות מגדרי וקשרי משפחה –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 "השווה הכתוב אישה לאיש לכל עונשין שבתורה" (בבא קמא טו ע"א) –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 ולעיתים אף הופללו –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לא רק התנהגות בפועל אלא גם את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חשוב להבחין בין הפער בהיקף (נשים עוברות פחות עבירות) לבין הפער בדפוס (נשים עוברות עבירות מסוגים שונים, בנסיבות שונות ובתפקידים שונים) – שני ממדים הנדרשים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 גניבות מחנויות, הונאות קטנות וזיופים –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 מסייעות, מתווכות או פועלות בצילו של בן זוג דומיננטי – ורק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 שאינם תלויים במערכות האכיפה –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ראוי להדגשה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 כל אדם –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 התיקון –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 "כָּל כְּבוּדָּה בַת מֶלֶךְ פְּנִימָה" (תהלים מה, יד) –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 שתייה, כנופיות, נשק ושוק הפשיעה. בלשונה של הקרימינולוגיה המודרנית: היהדות מיסדה עבור נשים רמות גבוהות במיוחד של קשר (Attachment), מחויבות (Commitment) ומעורבות (Involvement) – שלושת יסודות הפיקוח החברתי שיזוהו רק במאה העשרים כגורמי המגן החזקים ביותר מפני עבריינות.</w:t>
      </w:r>
    </w:p>
    <w:p>
      <w:pPr>
        <w:bidi/>
        <w:spacing w:after="160" w:before="0" w:line="360"/>
        <w:jc w:val="both"/>
      </w:pPr>
      <w:r>
        <w:rPr>
          <w:rFonts w:ascii="David" w:cs="David" w:eastAsia="David" w:hAnsi="David"/>
          <w:sz w:val="24"/>
          <w:szCs w:val="24"/>
          <w:rtl/>
        </w:rPr>
        <w:t xml:space="preserve">חשוב להדגיש: 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 לאישה כקורבן: דיני אונס ומפתה, הגנת "צעקה" לנערה המאורסה (דברים כב, כז), וחובת הקהילה כלפי החלשים – "אַלְמָנָה וְיָתוֹם לֹא תְעַנּוּן" (שמות כב, כא). בכך זיהתה המסורת, בדרכה, את הקשר שבין קורבנוּת לפגיעוּת חברתית –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 והמסורת מעניקה לכך משקל רב יותר –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 בעיקר בתפקיד עקיף של הסתה ופיתוי, בדפוס המזכיר את ממצאי המחקר על תפקידי המשנה של נשים בעבירות – אך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ראוי לציין כי חז"ל עצמם ביטלו את ההליך בשלהי ימי הבית השני בנימוק ש"משרבו המנאפים פסקו המים" (סוטה מז ע"א) –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לומברוזו טען כי נשים עברייניות הן "גברים מנוונים" – יצורים אטביסטיים שלא התפתחו כראוי – וכי מיעוט העבריינות הנשית נובע מנחיתות אבולוציונית: פסיביות, היעדר יוזמה ותבונה מוגבלת. האישה העבריינית, לשיטתו, סוטה כפליים – מן החוק ומן הטבע הנשי – ולכן היא מסוכנת ואכזרית מן הגבר העבריין. הנחות אלה, שאין להן כל ביסוס אמפירי, שלטו בשיח במשך עשורים והזינו יחס מפלה כלפי נשים במערכת אכיפת החוק (שוהם, אדד ורהב,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 נשים פשוט נעדרו מן המחקר ומן התיאוריה; ועיוות – כאשר נחקרו,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 ככל שנשים ישתלבו בשוק העבודה ובעמדות כוח, כך תעלה עבריינותן ותידמה לזו הגברית. סיימון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 הרחוקות ביותר מפירות השחרור –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 שהופקדה כביכול על הגנתן –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 בבית, בקהילה ובמערכת המשפט לנוער –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Gillis &amp; Simpson,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תיאוריית הלחץ המגדרית והתיאוריה המגדרית המשולבת</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 ואף יותר – ובכל זאת עוברות פחות עבירות. הסברם כפול: ראשית, סוגי הלחץ שונים –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 חמישה ממדים המייצרים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 ולא רק את העבירה – כביצוע (Performance) של זהות: נשיות נורמטיבית "מבוצעת" בין היתר דרך שמירת חוק. בויל (Boyle, 2024) העניקה למסגרת זו ביסוס אמפירי: היא הראתה כי המשמעות התרבותית שמייחסים אנשים למעשה העברייני היא עצמה ממוגדרת – עבירה נתפסת כפוגעת בזהות הנשית הרבה יותר מאשר בזהות הגברית – וכי ככל שהפער בין המשמעות של המעשה לבין הזהות המגדרית גדול יותר, כך פוחת הסיכוי לבצעו. לפי ממצאיה, נשים נמנעות מעבירה לא רק משום שהן מפוקחות יותר, אלא משום שהעבירה מאיימת על מי שהן.</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הצטברו עדויות לכך שדתיות – אמונה, תפילה והשתייכות קהילתית –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 שורש העבריינות –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בקמן ונילסון (Estrada et al., 2016) פרסמו את אחד המחקרים החשובים של העשור האחרון על הפער המגדרי, בהתבסס על נתוני עוקבות לידה שלמות בשוודיה לאורך שלושה עשורים. ממצאם המרכזי מטלטל את תיאוריית האמנציפציה: הפער המגדרי בהרשעות אכן הצטמצם – אך לא בגלל עלייה בעבריינות נשים, אלא בעיקר בגלל ירידה חדה בעבריינות גברים. יתרה מזו, העלייה היחסית שנרשמה בהרשעות נשים התרכזה בנשים מהשכבות המוחלשות ביותר – "הצד האפל של השוויון": נשים שנטלו על עצמן גם את הסיכונים החברתיים שהיו בעבר גבריים, בלי ליהנות מפירות השוויון. מסקנת החוקרים: ההתכנסות המגדרית בפשיעה היא בעיקרה סיפור של שוליים חברתיים, לא של שחרור.</w:t>
      </w:r>
    </w:p>
    <w:p>
      <w:pPr>
        <w:bidi/>
        <w:spacing w:after="160" w:before="0" w:line="360"/>
        <w:jc w:val="both"/>
      </w:pPr>
      <w:r>
        <w:rPr>
          <w:rFonts w:ascii="David" w:cs="David" w:eastAsia="David" w:hAnsi="David"/>
          <w:sz w:val="24"/>
          <w:szCs w:val="24"/>
          <w:rtl/>
        </w:rPr>
        <w:t xml:space="preserve">ממצאים דומים עולים ממחקרם של ביטון, קיד ומצ'ין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 השתתפות בשוק העבודה והזדמנויות עבירה – ולא שינוי בנטיות התנהגותיות.</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 ובכללן גניבה ואף אלימות –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 הרחבת ההגדרות של אלימות, מדיניות מעצרים באלימות במשפחה והפללת התנהגויות בית-ספריות –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סטולטס, ארננדס והיי (Stults et al., 2021) בחנו מנגנון מרכזי אחר: הם בדקו כיצד שליטה עצמית נמוכה וחברוּת לעמיתים עבריינים פועלות יחדיו בקרב בנים ובנות. ממצאם הוא ששליטה עצמית נמוכה מגבירה עבריינות בעיקר בעקיפין – דרך התחברות לעמיתים עבריינים – וכי המסלול העקיף הזה חזק יותר אצל בנים מאשר אצל בנות. הסברם: גם כאשר לבנות יש שליטה עצמית נמוכה, הפיקוח ההורי והחברתי המוגבר עליהן מצמצם את חשיפתן לקבוצות עמיתים עברייניות, ובכך חוסם את הנתיב שמוביל מנטייה אישית להתנהגות בפועל. ממצא זה מספק תמיכה אמפירית עדכנית וישירה לטענה המרכזית של עבודה זו – שהפער המגדרי מתווך על ידי הזדמנויות ופיקוח,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 עבריינית שפעלה למען אחרים ולא למען עצמה, בדפוס המוכר היטב מספרות הנתיבים; הקריאה השנייה מציגה אותה כ"אישה רעה" –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 הקורבן חסרת הבחירה או החריגה המפלצתית – ושניהם גם יחד חוסמים הבנה מלאה של מעשיה ושל אחריותה.</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פולנין, ג'אנג וג'ונסון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 פיקוח חברתי קהילתי, רשתות תמיכה, הפנמת נורמות ומשמעות קיומית – הם בדיוק המנגנונים שזוהו לעיל כמסבירי הפער המגדרי. ראוי לציין כי במחקרים רבים האפקט המגן של דתיות נמצא חזק יותר אצל נשים, המדווחות בעקביות על רמות דתיות גבוהות משל גברים –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 תשובה, וידוי, תיקון המידות, לימוד וקהילה –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 מחיפוש סיבה לחיפוש משמעות –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 מתיאוריית הפיקוח, דרך תיאוריית הכוח-שליטה ועד הממצאים האמפיריים העדכניים –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 צניעות, תיחום למרחב הביתי, פיקוח קהילתי –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 ואכן ממצאי המטא-אנליזה של קלי ועמיתיו (Kelly et al., 2015) תומכים בכיוון זה.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 גם לקורבנות וגם להפללה.</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 עיור, תיעוש ותיחום מרחבי של נשים –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 פיקוח מגדרי –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 חיפוש משמעות, השתייכות קהילתית ותיקון –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 מדוע נשים עוברות פחות עבירות מגברים וכיצד מסבירות זאת היהדות והקרימינולוגיה –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 לחברה ההלכתית ולחברה הליברלית כאחת –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20" w:before="0" w:line="360"/>
        <w:jc w:val="right"/>
      </w:pPr>
      <w:r>
        <w:rPr>
          <w:rFonts w:ascii="David" w:cs="David" w:eastAsia="David" w:hAnsi="David"/>
          <w:b/>
          <w:bCs/>
          <w:sz w:val="26"/>
          <w:szCs w:val="26"/>
          <w:rtl/>
        </w:rPr>
        <w:t xml:space="preserve">מקורות בעברית</w:t>
      </w:r>
    </w:p>
    <w:p>
      <w:pPr>
        <w:bidi/>
        <w:spacing w:after="160" w:line="360"/>
        <w:ind w:left="567" w:hanging="567"/>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567" w:hanging="567"/>
        <w:jc w:val="right"/>
      </w:pPr>
      <w:r>
        <w:rPr>
          <w:rFonts w:ascii="David" w:cs="David" w:eastAsia="David" w:hAnsi="David"/>
          <w:sz w:val="24"/>
          <w:szCs w:val="24"/>
          <w:rtl/>
        </w:rPr>
        <w:t xml:space="preserve">גוד, א' (2002). על הסטייה. האוניברסיטה הפתוחה.</w:t>
      </w:r>
    </w:p>
    <w:p>
      <w:pPr>
        <w:bidi/>
        <w:spacing w:after="160" w:line="360"/>
        <w:ind w:left="567" w:hanging="567"/>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567" w:hanging="567"/>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567" w:hanging="567"/>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567" w:hanging="567"/>
        <w:jc w:val="right"/>
      </w:pPr>
      <w:r>
        <w:rPr>
          <w:rFonts w:ascii="David" w:cs="David" w:eastAsia="David" w:hAnsi="David"/>
          <w:sz w:val="24"/>
          <w:szCs w:val="24"/>
          <w:rtl/>
        </w:rPr>
        <w:t xml:space="preserve">שוהם, ש"ג, אדד, מ' ורהב, ג' (2004). קרימינולוגיה. שוקן.</w:t>
      </w:r>
    </w:p>
    <w:p>
      <w:pPr>
        <w:bidi/>
        <w:spacing w:after="120" w:before="240" w:line="360"/>
        <w:jc w:val="right"/>
      </w:pPr>
      <w:r>
        <w:rPr>
          <w:rFonts w:ascii="David" w:cs="David" w:eastAsia="David" w:hAnsi="David"/>
          <w:b/>
          <w:bCs/>
          <w:sz w:val="26"/>
          <w:szCs w:val="26"/>
          <w:rtl/>
        </w:rPr>
        <w:t xml:space="preserve">מקורות באנגלית</w:t>
      </w:r>
    </w:p>
    <w:p>
      <w:pPr>
        <w:bidi w:val="false"/>
        <w:spacing w:after="160" w:line="360"/>
        <w:ind w:left="567" w:hanging="567"/>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567" w:hanging="567"/>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567" w:hanging="567"/>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567" w:hanging="567"/>
        <w:jc w:val="left"/>
      </w:pPr>
      <w:r>
        <w:rPr>
          <w:rFonts w:ascii="Times New Roman" w:cs="Times New Roman" w:eastAsia="Times New Roman" w:hAnsi="Times New Roman"/>
          <w:sz w:val="24"/>
          <w:szCs w:val="24"/>
        </w:rPr>
        <w:t xml:space="preserve">Boyle, K. M. (2024). Doing gender, avoiding crime: The gendered meaning of criminal behavior and the gender gap in offending in the United States. Social Psychology Quarterly, 87(2), 131-151.</w:t>
      </w:r>
    </w:p>
    <w:p>
      <w:pPr>
        <w:bidi w:val="false"/>
        <w:spacing w:after="160" w:line="360"/>
        <w:ind w:left="567" w:hanging="567"/>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567" w:hanging="567"/>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567" w:hanging="567"/>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567" w:hanging="567"/>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in an era of increasing gender equality. British Journal of Criminology, 56(6), 1272-1290.</w:t>
      </w:r>
    </w:p>
    <w:p>
      <w:pPr>
        <w:bidi w:val="false"/>
        <w:spacing w:after="160" w:line="360"/>
        <w:ind w:left="567" w:hanging="567"/>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567" w:hanging="567"/>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567" w:hanging="567"/>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567" w:hanging="567"/>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567" w:hanging="567"/>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567" w:hanging="567"/>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567" w:hanging="567"/>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567" w:hanging="567"/>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567" w:hanging="567"/>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567" w:hanging="567"/>
        <w:jc w:val="left"/>
      </w:pPr>
      <w:r>
        <w:rPr>
          <w:rFonts w:ascii="Times New Roman" w:cs="Times New Roman" w:eastAsia="Times New Roman" w:hAnsi="Times New Roman"/>
          <w:sz w:val="24"/>
          <w:szCs w:val="24"/>
        </w:rPr>
        <w:t xml:space="preserve">Stults, B. J., Hernandez, J. L., &amp; Hay, C. (2021). Low self-control, peer delinquency, and crime: Considering gendered pathways. Journal of Research in Crime and Delinquency, 58, 666-709.</w:t>
      </w:r>
    </w:p>
    <w:p>
      <w:pPr>
        <w:bidi w:val="false"/>
        <w:spacing w:after="160" w:line="360"/>
        <w:ind w:left="567" w:hanging="567"/>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2026-08-18T17:23:28.866Z</dcterms:created>
  <dcterms:modified xsi:type="dcterms:W3CDTF">2026-08-18T17:23:28.867Z</dcterms:modified>
</cp:coreProperties>
</file>

<file path=docProps/custom.xml><?xml version="1.0" encoding="utf-8"?>
<Properties xmlns="http://schemas.openxmlformats.org/officeDocument/2006/custom-properties" xmlns:vt="http://schemas.openxmlformats.org/officeDocument/2006/docPropsVTypes"/>
</file>