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[לוגו המכללה למינהל]</w:t>
      </w:r>
    </w:p>
    <w:p>
      <w:pPr>
        <w:bidi/>
        <w:spacing w:after="120" w:before="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12</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5.1 בית הספר כגשר בקהילה</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5.2 ערוצי התקשורת: מידע לעומת יחסים</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5.3 מזימון להזמנה, ומעזרה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5.4 עבודה בתוך מבנה הקהילה</w:t>
          </w:r>
          <w:r>
            <w:rPr>
              <w:rFonts w:ascii="Times New Roman" w:hAnsi="Times New Roman" w:cs="David"/>
              <w:sz w:val="24"/>
              <w:szCs w:val="24"/>
              <w:rtl/>
            </w:rPr>
            <w:tab/>
          </w:r>
          <w:r>
            <w:rPr>
              <w:rFonts w:ascii="Times New Roman" w:hAnsi="Times New Roman" w:cs="David"/>
              <w:sz w:val="24"/>
              <w:szCs w:val="24"/>
              <w:rtl/>
            </w:rPr>
            <w:t>17</w:t>
          </w:r>
        </w:p>
        <w:p>
          <w:pPr>
            <w:bidi/>
            <w:tabs>
              <w:tab w:val="right" w:leader="dot" w:pos="9072"/>
            </w:tabs>
            <w:spacing w:before="0" w:after="20" w:line="252" w:lineRule="auto"/>
            <w:ind w:left="567"/>
          </w:pPr>
          <w:r>
            <w:rPr>
              <w:rFonts w:ascii="Times New Roman" w:hAnsi="Times New Roman" w:cs="David"/>
              <w:sz w:val="24"/>
              <w:szCs w:val="24"/>
              <w:rtl/>
            </w:rPr>
            <w:t xml:space="preserve">5.5 מנהיגות שיתופית ללא מבנה</w:t>
          </w:r>
          <w:r>
            <w:rPr>
              <w:rFonts w:ascii="Times New Roman" w:hAnsi="Times New Roman" w:cs="David"/>
              <w:sz w:val="24"/>
              <w:szCs w:val="24"/>
              <w:rtl/>
            </w:rPr>
            <w:tab/>
          </w:r>
          <w:r>
            <w:rPr>
              <w:rFonts w:ascii="Times New Roman" w:hAnsi="Times New Roman" w:cs="David"/>
              <w:sz w:val="24"/>
              <w:szCs w:val="24"/>
              <w:rtl/>
            </w:rPr>
            <w:t>17</w:t>
          </w:r>
        </w:p>
        <w:p>
          <w:pPr>
            <w:bidi/>
            <w:tabs>
              <w:tab w:val="right" w:leader="dot" w:pos="9072"/>
            </w:tabs>
            <w:spacing w:before="0" w:after="20" w:line="252" w:lineRule="auto"/>
            <w:ind w:left="567"/>
          </w:pPr>
          <w:r>
            <w:rPr>
              <w:rFonts w:ascii="Times New Roman" w:hAnsi="Times New Roman" w:cs="David"/>
              <w:sz w:val="24"/>
              <w:szCs w:val="24"/>
              <w:rtl/>
            </w:rPr>
            <w:t xml:space="preserve">5.6 תובנות חדשות, השערות וכיווני מחקר</w:t>
          </w:r>
          <w:r>
            <w:rPr>
              <w:rFonts w:ascii="Times New Roman" w:hAnsi="Times New Roman" w:cs="David"/>
              <w:sz w:val="24"/>
              <w:szCs w:val="24"/>
              <w:rtl/>
            </w:rPr>
            <w:tab/>
          </w:r>
          <w:r>
            <w:rPr>
              <w:rFonts w:ascii="Times New Roman" w:hAnsi="Times New Roman" w:cs="David"/>
              <w:sz w:val="24"/>
              <w:szCs w:val="24"/>
              <w:rtl/>
            </w:rPr>
            <w:t>17</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6.1 מסקנות</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20</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24</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35</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lef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איכותני-נרטיבי שנערך בשכונה עירונית בירושלים, ובו ראיונות עומק עם 15 תושבים, מצא כי משמעות הקהילה נעה על רצף שבין היעדר קהילה, געגוע אליה וניסיון לשחזר אותה (וול-טיסר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lef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וקשיים בבריאות הנפש.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העבודה המשותפת עם התלמידים, התמיכה בחדר המורים ואירועים חגיגיים, ואילו בדיחות עדתיות, נורמות תרבותיות שונות וסטריאוטיפים תרמו לחוויית השונות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lef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שלתפיסתם, ערבוב הזירה הביתית והזירה הבית ספרית יצר סוג מעורבות שאינו בהכרח יעיל ומקדם. בתגובה נקטו המנהלים אסטרטגיה של שקיפות ופתיחות שהתחשבה בקשיים ובצרכים של ההורים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lef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אפשר ללמוד לראות את המצב מנקודת המבט של ההורה.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480" w:lineRule="auto"/>
        <w:jc w:val="lef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שנקשרו לתהליכי אתנו-ג'נטריפיקציה ולהתיישבות גרעינים תורניים בערים המעורבות (שמריהו-ישורון, 2021). הגרעין התורני הראשון בעיר מעורבת הוקם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120" w:before="0" w:line="480" w:lineRule="auto"/>
        <w:ind w:firstLine="567"/>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lef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120" w:before="0" w:line="480" w:lineRule="auto"/>
        <w:ind w:firstLine="567"/>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480" w:lineRule="auto"/>
        <w:jc w:val="lef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left"/>
      </w:pPr>
      <w:r>
        <w:rPr>
          <w:rFonts w:ascii="Times New Roman" w:cs="David" w:hAnsi="Times New Roman"/>
          <w:b/>
          <w:bCs/>
          <w:sz w:val="24"/>
          <w:szCs w:val="24"/>
          <w:rtl/>
        </w:rPr>
        <w:t xml:space="preserve">טבלה 1</w:t>
      </w:r>
    </w:p>
    <w:p>
      <w:pPr>
        <w:keepNext/>
        <w:bidi/>
        <w:spacing w:after="60" w:line="48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lef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480" w:lineRule="auto"/>
        <w:jc w:val="lef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lef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480" w:lineRule="auto"/>
        <w:jc w:val="left"/>
      </w:pPr>
      <w:r>
        <w:rPr>
          <w:rFonts w:ascii="Times New Roman" w:cs="David" w:hAnsi="Times New Roman"/>
          <w:b/>
          <w:bCs/>
          <w:sz w:val="24"/>
          <w:szCs w:val="24"/>
          <w:rtl/>
        </w:rPr>
        <w:t xml:space="preserve">טבלה 2</w:t>
      </w:r>
    </w:p>
    <w:p>
      <w:pPr>
        <w:keepNext/>
        <w:bidi/>
        <w:spacing w:after="60" w:line="48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כמוסד שסומכים עליו;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פנייה חיובית ראשונה; הגדרה מחודשת של "הורה מעורב"</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ההורה כנותן ידע; גופי הורים שפותרים בעיות; תנאים להצלחה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כסמכות; אבות שאינם מדברים עם מורה;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480" w:lineRule="auto"/>
        <w:jc w:val="lef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 "אני לא יודעת תמיד איפה אני מורה ואיפה אני שכנה".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שתיהן תיארו את הזרות גם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lef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היחס של המורות לכלים הדיגיטליים היה כפול. ריהאם אמרה שהם "שינו את הקשר לגמרי, לטובה ולרעה", ונסרין תיארה כיצד עמוד הפייסבוק של בית הספר "בנה תחושה של קהילה שלא הייתה קודם", ובאותה נשימה אמרה שהכלים "עזרו לנו להגיע לכולם ופגעו ביכולת שלנו להגיע למישהו". את הסתירה הזאת יישבו המורות בהבחנה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המורות תיארו יוזמות משלהן שבהן ההורים הוזמנו לתרום מן הידע שלהם.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pStyle w:val="Heading2"/>
        <w:bidi/>
        <w:spacing w:after="120" w:before="240" w:line="48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המורות תיארו גם את המחיר המגדרי של המבנה הזה.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lef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שהמורות פועלות כגשר בין משפחות שחיות במצוקה ובפחד ובין מערכת שמדברת עברית. הן מעבירות מידע בערוצים דיגיטליים ובונות יחסים פנים אל פנים, בשער, ליד הגדר ובבית. הן מזמינות את ההורים כנותני ידע ופועלות בתוך מבנה המשפחה המורחבת, והשותפות שנבנית כך נשענת על יוזמות אישיות ולא על מבנה בית ספרי. להלן יידונו הממצאים לאור הרקע התיאורטי, לפי סדר התמות. הדיון נשען על הציטוטים שהובאו בשמות בדויים ובלי פרטים מזהים של בתי הספר, כפי שהובטח למשתתפות.</w:t>
      </w:r>
    </w:p>
    <w:p>
      <w:pPr>
        <w:pStyle w:val="Heading2"/>
        <w:bidi/>
        <w:spacing w:after="120" w:before="240" w:line="480" w:lineRule="auto"/>
        <w:jc w:val="left"/>
      </w:pPr>
      <w:r>
        <w:rPr>
          <w:rFonts w:ascii="Times New Roman" w:cs="David" w:hAnsi="Times New Roman"/>
          <w:b/>
          <w:bCs/>
          <w:sz w:val="24"/>
          <w:szCs w:val="24"/>
          <w:rtl/>
        </w:rPr>
        <w:t xml:space="preserve">5.1 בית הספר כגשר בקהילה</w:t>
      </w:r>
    </w:p>
    <w:p>
      <w:pPr>
        <w:bidi/>
        <w:spacing w:after="120" w:before="0" w:line="480" w:lineRule="auto"/>
        <w:ind w:firstLine="567"/>
        <w:jc w:val="both"/>
      </w:pPr>
      <w:r>
        <w:rPr>
          <w:rFonts w:ascii="Times New Roman" w:cs="David" w:hAnsi="Times New Roman"/>
          <w:sz w:val="24"/>
          <w:szCs w:val="24"/>
          <w:rtl/>
        </w:rPr>
        <w:t xml:space="preserve">המורות תיארו את בית הספר כמוסד היחיד שההורים סומכים עליו, כלומר כמקום שבו הקהילה נוכחת, בעיר שבה תושבים רבים חווים את היעדרה ומבקשים לשחזר אותה (וול-טיסר ובליט-כהן, 2023).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הדבר מתיישב עם תיאור החינוך החברתי-קהילתי כ"עוגן" בעת משבר (גולדרט, 2024), ומרחיב אותו: בלוד המשבר אינו אירוע חולף אלא מצב מתמשך של ירי ופחד. הפערים בתקצוב בין החינוך הערבי לעברי בעיר (אבגר ואחרים, 2021) עשויים להסביר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בדומה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נורמות תרבותיות שונות שמעוררות חוויה של שונות (ארליך-רון וגינדי, 2020). עם זאת, הן תיארו את הזרות גם כיתרון, משום שמורה שאינה שייכת לאף משפחה אינה צד בסכסוכים.</w:t>
      </w:r>
    </w:p>
    <w:p>
      <w:pPr>
        <w:pStyle w:val="Heading2"/>
        <w:bidi/>
        <w:spacing w:after="120" w:before="240" w:line="480" w:lineRule="auto"/>
        <w:jc w:val="left"/>
      </w:pPr>
      <w:r>
        <w:rPr>
          <w:rFonts w:ascii="Times New Roman" w:cs="David" w:hAnsi="Times New Roman"/>
          <w:b/>
          <w:bCs/>
          <w:sz w:val="24"/>
          <w:szCs w:val="24"/>
          <w:rtl/>
        </w:rPr>
        <w:t xml:space="preserve">5.2 ערוצי התקשורת: מידע לעומת יחסים</w:t>
      </w:r>
    </w:p>
    <w:p>
      <w:pPr>
        <w:bidi/>
        <w:spacing w:after="120" w:before="0" w:line="480" w:lineRule="auto"/>
        <w:ind w:firstLine="567"/>
        <w:jc w:val="both"/>
      </w:pPr>
      <w:r>
        <w:rPr>
          <w:rFonts w:ascii="Times New Roman" w:cs="David" w:hAnsi="Times New Roman"/>
          <w:sz w:val="24"/>
          <w:szCs w:val="24"/>
          <w:rtl/>
        </w:rPr>
        <w:t xml:space="preserve">הממצאים תואמים את מה שנמצא על קבוצות הוואטסאפ הכיתתיות: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בין ערוץ דיגיטלי למידע ובין ערוצים אישיים ליחסים. מחקרים קודמים עסקו בעיקר בערוצים הרשמיים, ואילו כאן נמצא שהערוצים הבלתי פורמליים הם המקום המרכזי שבו נבנה הקשר.</w:t>
      </w:r>
    </w:p>
    <w:p>
      <w:pPr>
        <w:pStyle w:val="Heading2"/>
        <w:bidi/>
        <w:spacing w:after="120" w:before="240" w:line="480" w:lineRule="auto"/>
        <w:jc w:val="left"/>
      </w:pPr>
      <w:r>
        <w:rPr>
          <w:rFonts w:ascii="Times New Roman" w:cs="David" w:hAnsi="Times New Roman"/>
          <w:b/>
          <w:bCs/>
          <w:sz w:val="24"/>
          <w:szCs w:val="24"/>
          <w:rtl/>
        </w:rPr>
        <w:t xml:space="preserve">5.3 מזימון להזמנה, ומעזרה לשותפות</w:t>
      </w:r>
    </w:p>
    <w:p>
      <w:pPr>
        <w:bidi/>
        <w:spacing w:after="120" w:before="0" w:line="480" w:lineRule="auto"/>
        <w:ind w:firstLine="567"/>
        <w:jc w:val="both"/>
      </w:pPr>
      <w:r>
        <w:rPr>
          <w:rFonts w:ascii="Times New Roman" w:cs="David" w:hAnsi="Times New Roman"/>
          <w:sz w:val="24"/>
          <w:szCs w:val="24"/>
          <w:rtl/>
        </w:rPr>
        <w:t xml:space="preserve">נמצא פער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ההבחנה שלהן בין הורה "מזומן" להורה "מוזמן" מזכירה את ההבחנה בין פעולה למען הקהילה לפעולה עמה (גולדרט ועמרם-אשרוב, 2023), ו"בוקר הקפה" ממחיש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במחקר הנוכחי, כשההורים הוזמנו כנותנים, הגיעו רובם, וזה מתיישב עם הממצא שמעורבות ההורים הערבים משתנה לפי המסגרת והנסיבות (בנג'ו ובדיר, 2024). בצוות ההורים של מהא הציעו ההורים פתרון בעצמם, בהתאם לקשר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וההכרה בכך שאמא שאינה קוראת אבל "יושבת ליד הילד" היא מעורבת מתיישבת עם הממצא שציפיות ההורים חשובות יותר מפיקוח (Erdem &amp; Kaya, 2020).</w:t>
      </w:r>
    </w:p>
    <w:p>
      <w:pPr>
        <w:pStyle w:val="Heading2"/>
        <w:bidi/>
        <w:spacing w:after="120" w:before="240" w:line="480" w:lineRule="auto"/>
        <w:jc w:val="left"/>
      </w:pPr>
      <w:r>
        <w:rPr>
          <w:rFonts w:ascii="Times New Roman" w:cs="David" w:hAnsi="Times New Roman"/>
          <w:b/>
          <w:bCs/>
          <w:sz w:val="24"/>
          <w:szCs w:val="24"/>
          <w:rtl/>
        </w:rPr>
        <w:t xml:space="preserve">5.4 עבודה בתוך מבנה הקהילה</w:t>
      </w:r>
    </w:p>
    <w:p>
      <w:pPr>
        <w:bidi/>
        <w:spacing w:after="120" w:before="0" w:line="480" w:lineRule="auto"/>
        <w:ind w:firstLine="567"/>
        <w:jc w:val="both"/>
      </w:pPr>
      <w:r>
        <w:rPr>
          <w:rFonts w:ascii="Times New Roman" w:cs="David" w:hAnsi="Times New Roman"/>
          <w:sz w:val="24"/>
          <w:szCs w:val="24"/>
          <w:rtl/>
        </w:rPr>
        <w:t xml:space="preserve">המורות לא ניסו לשנות את מבנה הקהילה אלא לעבוד דרכו: לפנות לסבתא, להיעזר בזקני המשפחה ולהושיב משפחות חלשות בשורה הראשונה. גישה זו מתיישבת עם ההמלצה על התערבות מותאמת תרבות בעבודה עם הורים ערבים (Grinshtain &amp; Harpaz, 2023), ועם גישת פיתוח הקהילה, שבה הקהילה עצמה שותפה לתהליך (גולדרט ועמרם-אשרוב, 2023). מועצת הקהילה שהקימה סוהא, לצד ועד ההורים הנבחר, היא דוגמה למבנה כזה. 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w:t>
      </w:r>
    </w:p>
    <w:p>
      <w:pPr>
        <w:pStyle w:val="Heading2"/>
        <w:bidi/>
        <w:spacing w:after="120" w:before="240" w:line="480" w:lineRule="auto"/>
        <w:jc w:val="left"/>
      </w:pPr>
      <w:r>
        <w:rPr>
          <w:rFonts w:ascii="Times New Roman" w:cs="David" w:hAnsi="Times New Roman"/>
          <w:b/>
          <w:bCs/>
          <w:sz w:val="24"/>
          <w:szCs w:val="24"/>
          <w:rtl/>
        </w:rPr>
        <w:t xml:space="preserve">5.5 מנהיגות שיתופית ללא מבנה</w:t>
      </w:r>
    </w:p>
    <w:p>
      <w:pPr>
        <w:bidi/>
        <w:spacing w:after="120" w:before="0" w:line="480" w:lineRule="auto"/>
        <w:ind w:firstLine="567"/>
        <w:jc w:val="both"/>
      </w:pPr>
      <w:r>
        <w:rPr>
          <w:rFonts w:ascii="Times New Roman" w:cs="David" w:hAnsi="Times New Roman"/>
          <w:sz w:val="24"/>
          <w:szCs w:val="24"/>
          <w:rtl/>
        </w:rPr>
        <w:t xml:space="preserve">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(קאהן ואחרים, 2026). אך כשהמנהיגות המבוזרת נשענת על אנשים ולא על מבנה, היא תלויה במנהל ועלולה להיעלם, וזה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w:t>
      </w:r>
    </w:p>
    <w:p>
      <w:pPr>
        <w:pStyle w:val="Heading2"/>
        <w:bidi/>
        <w:spacing w:after="120" w:before="240" w:line="480" w:lineRule="auto"/>
        <w:jc w:val="left"/>
      </w:pPr>
      <w:r>
        <w:rPr>
          <w:rFonts w:ascii="Times New Roman" w:cs="David" w:hAnsi="Times New Roman"/>
          <w:b/>
          <w:bCs/>
          <w:sz w:val="24"/>
          <w:szCs w:val="24"/>
          <w:rtl/>
        </w:rPr>
        <w:t xml:space="preserve">5.6 תובנות חדשות, השערות וכיווני מחקר</w:t>
      </w:r>
    </w:p>
    <w:p>
      <w:pPr>
        <w:bidi/>
        <w:spacing w:after="120" w:before="0" w:line="480" w:lineRule="auto"/>
        <w:ind w:firstLine="567"/>
        <w:jc w:val="both"/>
      </w:pPr>
      <w:r>
        <w:rPr>
          <w:rFonts w:ascii="Times New Roman" w:cs="David" w:hAnsi="Times New Roman"/>
          <w:sz w:val="24"/>
          <w:szCs w:val="24"/>
          <w:rtl/>
        </w:rPr>
        <w:t xml:space="preserve">הממצאים תומכים בטענת המחקר ומאששים ממצאים קודמים על מחירי התקשורת הדיגיטלית ועל היעדר הכשרה לעבודה עם הורים. לצד זאת, המחקר מציע שלוש תובנות חדשות. ראשית, הערוצים הבלתי פורמליים אינם שוליים אלא מרכזיים בבניית הקשר. שנית, בניגוד לספרות שלפיה מורים מבקשים להגביל את מעורבות ההורים, המורות ביקשו להרחיב אותה. שלישית, בית הספר הערבי בעיר מעורבת מתפקד כמוסד קהילתי שמגשר בין הקהילה למערכת, ותפקיד זה מוטל בפועל על המורות.</w:t>
      </w:r>
    </w:p>
    <w:p>
      <w:pPr>
        <w:bidi/>
        <w:spacing w:after="120" w:before="0" w:line="480" w:lineRule="auto"/>
        <w:ind w:firstLine="567"/>
        <w:jc w:val="both"/>
      </w:pPr>
      <w:r>
        <w:rPr>
          <w:rFonts w:ascii="Times New Roman" w:cs="David" w:hAnsi="Times New Roman"/>
          <w:sz w:val="24"/>
          <w:szCs w:val="24"/>
          <w:rtl/>
        </w:rPr>
        <w:t xml:space="preserve">מכאן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lef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מידע עובר בערוצים דיגיטליים, והיחסים נבנים פנים אל פנים, מתוך פנייה חיובית, הזמנה של ההורים כנותנים ועבודה בתוך מבנה המשפחה המורחבת.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480" w:lineRule="auto"/>
        <w:jc w:val="lef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הראיונות נערכו בידי שתי מראיינות, והיכרותן עם הקהילה עשויה הייתה להשפיע על התשובות. גורמים נוספים שעלולים היו להשפיע על התוצאות הם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480" w:lineRule="auto"/>
        <w:jc w:val="lef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48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טופסי הסכמה מדעת</w:t>
      </w:r>
    </w:p>
    <w:p>
      <w:pPr>
        <w:bidi/>
        <w:spacing w:after="120" w:before="0" w:line="48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ריהאם,</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ריהאם</w:t>
      </w:r>
    </w:p>
    <w:p>
      <w:pPr>
        <w:bidi/>
        <w:spacing w:after="120" w:before="0" w:line="480" w:lineRule="auto"/>
        <w:jc w:val="both"/>
      </w:pPr>
      <w:r>
        <w:rPr>
          <w:rFonts w:ascii="Times New Roman" w:cs="David" w:hAnsi="Times New Roman"/>
          <w:sz w:val="24"/>
          <w:szCs w:val="24"/>
          <w:rtl/>
        </w:rPr>
        <w:t xml:space="preserve">תאריך: 21.9.2026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מהא,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מהא</w:t>
      </w:r>
    </w:p>
    <w:p>
      <w:pPr>
        <w:bidi/>
        <w:spacing w:after="120" w:before="0" w:line="480" w:lineRule="auto"/>
        <w:jc w:val="both"/>
      </w:pPr>
      <w:r>
        <w:rPr>
          <w:rFonts w:ascii="Times New Roman" w:cs="David" w:hAnsi="Times New Roman"/>
          <w:sz w:val="24"/>
          <w:szCs w:val="24"/>
          <w:rtl/>
        </w:rPr>
        <w:t xml:space="preserve">תאריך: 23.9.2026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סמר,</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סמר</w:t>
      </w:r>
    </w:p>
    <w:p>
      <w:pPr>
        <w:bidi/>
        <w:spacing w:after="120" w:before="0" w:line="480" w:lineRule="auto"/>
        <w:jc w:val="both"/>
      </w:pPr>
      <w:r>
        <w:rPr>
          <w:rFonts w:ascii="Times New Roman" w:cs="David" w:hAnsi="Times New Roman"/>
          <w:sz w:val="24"/>
          <w:szCs w:val="24"/>
          <w:rtl/>
        </w:rPr>
        <w:t xml:space="preserve">תאריך: 28.9.2026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נסרין,</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נסרין</w:t>
      </w:r>
    </w:p>
    <w:p>
      <w:pPr>
        <w:bidi/>
        <w:spacing w:after="120" w:before="0" w:line="480" w:lineRule="auto"/>
        <w:jc w:val="both"/>
      </w:pPr>
      <w:r>
        <w:rPr>
          <w:rFonts w:ascii="Times New Roman" w:cs="David" w:hAnsi="Times New Roman"/>
          <w:sz w:val="24"/>
          <w:szCs w:val="24"/>
          <w:rtl/>
        </w:rPr>
        <w:t xml:space="preserve">תאריך: 30.9.2026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פאטמה,</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פאטמה</w:t>
      </w:r>
    </w:p>
    <w:p>
      <w:pPr>
        <w:bidi/>
        <w:spacing w:after="120" w:before="0" w:line="480" w:lineRule="auto"/>
        <w:jc w:val="both"/>
      </w:pPr>
      <w:r>
        <w:rPr>
          <w:rFonts w:ascii="Times New Roman" w:cs="David" w:hAnsi="Times New Roman"/>
          <w:sz w:val="24"/>
          <w:szCs w:val="24"/>
          <w:rtl/>
        </w:rPr>
        <w:t xml:space="preserve">תאריך: 5.10.2026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רנא,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רנא</w:t>
      </w:r>
    </w:p>
    <w:p>
      <w:pPr>
        <w:bidi/>
        <w:spacing w:after="120" w:before="0" w:line="480" w:lineRule="auto"/>
        <w:jc w:val="both"/>
      </w:pPr>
      <w:r>
        <w:rPr>
          <w:rFonts w:ascii="Times New Roman" w:cs="David" w:hAnsi="Times New Roman"/>
          <w:sz w:val="24"/>
          <w:szCs w:val="24"/>
          <w:rtl/>
        </w:rPr>
        <w:t xml:space="preserve">תאריך: 7.10.2026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אמאני,</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אמאני</w:t>
      </w:r>
    </w:p>
    <w:p>
      <w:pPr>
        <w:bidi/>
        <w:spacing w:after="120" w:before="0" w:line="480" w:lineRule="auto"/>
        <w:jc w:val="both"/>
      </w:pPr>
      <w:r>
        <w:rPr>
          <w:rFonts w:ascii="Times New Roman" w:cs="David" w:hAnsi="Times New Roman"/>
          <w:sz w:val="24"/>
          <w:szCs w:val="24"/>
          <w:rtl/>
        </w:rPr>
        <w:t xml:space="preserve">תאריך: 11.10.2026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סוהא,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סוהא</w:t>
      </w:r>
    </w:p>
    <w:p>
      <w:pPr>
        <w:bidi/>
        <w:spacing w:after="120" w:before="0" w:line="480" w:lineRule="auto"/>
        <w:jc w:val="both"/>
      </w:pPr>
      <w:r>
        <w:rPr>
          <w:rFonts w:ascii="Times New Roman" w:cs="David" w:hAnsi="Times New Roman"/>
          <w:sz w:val="24"/>
          <w:szCs w:val="24"/>
          <w:rtl/>
        </w:rPr>
        <w:t xml:space="preserve">תאריך: 12.10.2026</w:t>
      </w:r>
    </w:p>
    <w:p>
      <w:pPr>
        <w:bidi/>
        <w:spacing w:after="120" w:before="0" w:line="48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480" w:lineRule="auto"/>
        <w:jc w:val="center"/>
      </w:pPr>
      <w:r>
        <w:rPr>
          <w:rFonts w:ascii="Times New Roman" w:cs="David" w:hAnsi="Times New Roman"/>
          <w:b/>
          <w:bCs/>
          <w:sz w:val="28"/>
          <w:szCs w:val="28"/>
          <w:rtl/>
        </w:rPr>
        <w:t xml:space="preserve">נספח ג': תמלילי הראיונות</w:t>
      </w:r>
    </w:p>
    <w:p>
      <w:pPr>
        <w:bidi/>
        <w:spacing w:after="120" w:before="0" w:line="48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48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38</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480" w:lineRule="auto"/>
        <w:jc w:val="both"/>
      </w:pPr>
      <w:r>
        <w:rPr>
          <w:rFonts w:ascii="Times New Roman" w:cs="David" w:hAnsi="Times New Roman"/>
          <w:sz w:val="24"/>
          <w:szCs w:val="24"/>
          <w:rtl/>
        </w:rPr>
        <w:t xml:space="preserve">ותק בהוראה: 13 שנים</w:t>
      </w:r>
    </w:p>
    <w:p>
      <w:pPr>
        <w:bidi/>
        <w:spacing w:after="120" w:before="0" w:line="480" w:lineRule="auto"/>
        <w:jc w:val="both"/>
      </w:pPr>
      <w:r>
        <w:rPr>
          <w:rFonts w:ascii="Times New Roman" w:cs="David" w:hAnsi="Times New Roman"/>
          <w:sz w:val="24"/>
          <w:szCs w:val="24"/>
          <w:rtl/>
        </w:rPr>
        <w:t xml:space="preserve">ותק בבית הספר הנוכחי: 9 שנים</w:t>
      </w:r>
    </w:p>
    <w:p>
      <w:pPr>
        <w:bidi/>
        <w:spacing w:after="120" w:before="0" w:line="48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480" w:lineRule="auto"/>
        <w:jc w:val="both"/>
      </w:pPr>
      <w:r>
        <w:rPr>
          <w:rFonts w:ascii="Times New Roman" w:cs="David" w:hAnsi="Times New Roman"/>
          <w:sz w:val="24"/>
          <w:szCs w:val="24"/>
          <w:rtl/>
        </w:rPr>
        <w:t xml:space="preserve">שכבת גיל שבה את/ה מלמד/ת: כיתה ד'</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45</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480" w:lineRule="auto"/>
        <w:jc w:val="both"/>
      </w:pPr>
      <w:r>
        <w:rPr>
          <w:rFonts w:ascii="Times New Roman" w:cs="David" w:hAnsi="Times New Roman"/>
          <w:sz w:val="24"/>
          <w:szCs w:val="24"/>
          <w:rtl/>
        </w:rPr>
        <w:t xml:space="preserve">ותק בהוראה: 19 שנים</w:t>
      </w:r>
    </w:p>
    <w:p>
      <w:pPr>
        <w:bidi/>
        <w:spacing w:after="120" w:before="0" w:line="480" w:lineRule="auto"/>
        <w:jc w:val="both"/>
      </w:pPr>
      <w:r>
        <w:rPr>
          <w:rFonts w:ascii="Times New Roman" w:cs="David" w:hAnsi="Times New Roman"/>
          <w:sz w:val="24"/>
          <w:szCs w:val="24"/>
          <w:rtl/>
        </w:rPr>
        <w:t xml:space="preserve">ותק בבית הספר הנוכחי: 15 שנים</w:t>
      </w:r>
    </w:p>
    <w:p>
      <w:pPr>
        <w:bidi/>
        <w:spacing w:after="120" w:before="0" w:line="48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480" w:lineRule="auto"/>
        <w:jc w:val="both"/>
      </w:pPr>
      <w:r>
        <w:rPr>
          <w:rFonts w:ascii="Times New Roman" w:cs="David" w:hAnsi="Times New Roman"/>
          <w:sz w:val="24"/>
          <w:szCs w:val="24"/>
          <w:rtl/>
        </w:rPr>
        <w:t xml:space="preserve">שכבת גיל שבה את/ה מלמד/ת: כיתות ה' ו-ו'</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29</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480" w:lineRule="auto"/>
        <w:jc w:val="both"/>
      </w:pPr>
      <w:r>
        <w:rPr>
          <w:rFonts w:ascii="Times New Roman" w:cs="David" w:hAnsi="Times New Roman"/>
          <w:sz w:val="24"/>
          <w:szCs w:val="24"/>
          <w:rtl/>
        </w:rPr>
        <w:t xml:space="preserve">ותק בהוראה: 5 שנים</w:t>
      </w:r>
    </w:p>
    <w:p>
      <w:pPr>
        <w:bidi/>
        <w:spacing w:after="120" w:before="0" w:line="480" w:lineRule="auto"/>
        <w:jc w:val="both"/>
      </w:pPr>
      <w:r>
        <w:rPr>
          <w:rFonts w:ascii="Times New Roman" w:cs="David" w:hAnsi="Times New Roman"/>
          <w:sz w:val="24"/>
          <w:szCs w:val="24"/>
          <w:rtl/>
        </w:rPr>
        <w:t xml:space="preserve">ותק בבית הספר הנוכחי: 5 שנים</w:t>
      </w:r>
    </w:p>
    <w:p>
      <w:pPr>
        <w:bidi/>
        <w:spacing w:after="120" w:before="0" w:line="48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480" w:lineRule="auto"/>
        <w:jc w:val="both"/>
      </w:pPr>
      <w:r>
        <w:rPr>
          <w:rFonts w:ascii="Times New Roman" w:cs="David" w:hAnsi="Times New Roman"/>
          <w:sz w:val="24"/>
          <w:szCs w:val="24"/>
          <w:rtl/>
        </w:rPr>
        <w:t xml:space="preserve">שכבת גיל שבה את/ה מלמד/ת: כיתה ב'</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41</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480" w:lineRule="auto"/>
        <w:jc w:val="both"/>
      </w:pPr>
      <w:r>
        <w:rPr>
          <w:rFonts w:ascii="Times New Roman" w:cs="David" w:hAnsi="Times New Roman"/>
          <w:sz w:val="24"/>
          <w:szCs w:val="24"/>
          <w:rtl/>
        </w:rPr>
        <w:t xml:space="preserve">ותק בהוראה: 16 שנים</w:t>
      </w:r>
    </w:p>
    <w:p>
      <w:pPr>
        <w:bidi/>
        <w:spacing w:after="120" w:before="0" w:line="480" w:lineRule="auto"/>
        <w:jc w:val="both"/>
      </w:pPr>
      <w:r>
        <w:rPr>
          <w:rFonts w:ascii="Times New Roman" w:cs="David" w:hAnsi="Times New Roman"/>
          <w:sz w:val="24"/>
          <w:szCs w:val="24"/>
          <w:rtl/>
        </w:rPr>
        <w:t xml:space="preserve">ותק בבית הספר הנוכחי: 11 שנים</w:t>
      </w:r>
    </w:p>
    <w:p>
      <w:pPr>
        <w:bidi/>
        <w:spacing w:after="120" w:before="0" w:line="48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480" w:lineRule="auto"/>
        <w:jc w:val="both"/>
      </w:pPr>
      <w:r>
        <w:rPr>
          <w:rFonts w:ascii="Times New Roman" w:cs="David" w:hAnsi="Times New Roman"/>
          <w:sz w:val="24"/>
          <w:szCs w:val="24"/>
          <w:rtl/>
        </w:rPr>
        <w:t xml:space="preserve">שכבת גיל שבה את/ה מלמד/ת: כיתה ה'</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52</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480" w:lineRule="auto"/>
        <w:jc w:val="both"/>
      </w:pPr>
      <w:r>
        <w:rPr>
          <w:rFonts w:ascii="Times New Roman" w:cs="David" w:hAnsi="Times New Roman"/>
          <w:sz w:val="24"/>
          <w:szCs w:val="24"/>
          <w:rtl/>
        </w:rPr>
        <w:t xml:space="preserve">ותק בהוראה: 27 שנים</w:t>
      </w:r>
    </w:p>
    <w:p>
      <w:pPr>
        <w:bidi/>
        <w:spacing w:after="120" w:before="0" w:line="480" w:lineRule="auto"/>
        <w:jc w:val="both"/>
      </w:pPr>
      <w:r>
        <w:rPr>
          <w:rFonts w:ascii="Times New Roman" w:cs="David" w:hAnsi="Times New Roman"/>
          <w:sz w:val="24"/>
          <w:szCs w:val="24"/>
          <w:rtl/>
        </w:rPr>
        <w:t xml:space="preserve">ותק בבית הספר הנוכחי: 19 שנים</w:t>
      </w:r>
    </w:p>
    <w:p>
      <w:pPr>
        <w:bidi/>
        <w:spacing w:after="120" w:before="0" w:line="48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480" w:lineRule="auto"/>
        <w:jc w:val="both"/>
      </w:pPr>
      <w:r>
        <w:rPr>
          <w:rFonts w:ascii="Times New Roman" w:cs="David" w:hAnsi="Times New Roman"/>
          <w:sz w:val="24"/>
          <w:szCs w:val="24"/>
          <w:rtl/>
        </w:rPr>
        <w:t xml:space="preserve">שכבת גיל שבה את/ה מלמד/ת: כיתות ה' ו-ו'</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33</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480" w:lineRule="auto"/>
        <w:jc w:val="both"/>
      </w:pPr>
      <w:r>
        <w:rPr>
          <w:rFonts w:ascii="Times New Roman" w:cs="David" w:hAnsi="Times New Roman"/>
          <w:sz w:val="24"/>
          <w:szCs w:val="24"/>
          <w:rtl/>
        </w:rPr>
        <w:t xml:space="preserve">ותק בהוראה: 8 שנים</w:t>
      </w:r>
    </w:p>
    <w:p>
      <w:pPr>
        <w:bidi/>
        <w:spacing w:after="120" w:before="0" w:line="480" w:lineRule="auto"/>
        <w:jc w:val="both"/>
      </w:pPr>
      <w:r>
        <w:rPr>
          <w:rFonts w:ascii="Times New Roman" w:cs="David" w:hAnsi="Times New Roman"/>
          <w:sz w:val="24"/>
          <w:szCs w:val="24"/>
          <w:rtl/>
        </w:rPr>
        <w:t xml:space="preserve">ותק בבית הספר הנוכחי: 6 שנים</w:t>
      </w:r>
    </w:p>
    <w:p>
      <w:pPr>
        <w:bidi/>
        <w:spacing w:after="120" w:before="0" w:line="48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48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36</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480" w:lineRule="auto"/>
        <w:jc w:val="both"/>
      </w:pPr>
      <w:r>
        <w:rPr>
          <w:rFonts w:ascii="Times New Roman" w:cs="David" w:hAnsi="Times New Roman"/>
          <w:sz w:val="24"/>
          <w:szCs w:val="24"/>
          <w:rtl/>
        </w:rPr>
        <w:t xml:space="preserve">ותק בהוראה: 11 שנים</w:t>
      </w:r>
    </w:p>
    <w:p>
      <w:pPr>
        <w:bidi/>
        <w:spacing w:after="120" w:before="0" w:line="480" w:lineRule="auto"/>
        <w:jc w:val="both"/>
      </w:pPr>
      <w:r>
        <w:rPr>
          <w:rFonts w:ascii="Times New Roman" w:cs="David" w:hAnsi="Times New Roman"/>
          <w:sz w:val="24"/>
          <w:szCs w:val="24"/>
          <w:rtl/>
        </w:rPr>
        <w:t xml:space="preserve">ותק בבית הספר הנוכחי: 7 שנים</w:t>
      </w:r>
    </w:p>
    <w:p>
      <w:pPr>
        <w:bidi/>
        <w:spacing w:after="120" w:before="0" w:line="48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480" w:lineRule="auto"/>
        <w:jc w:val="both"/>
      </w:pPr>
      <w:r>
        <w:rPr>
          <w:rFonts w:ascii="Times New Roman" w:cs="David" w:hAnsi="Times New Roman"/>
          <w:sz w:val="24"/>
          <w:szCs w:val="24"/>
          <w:rtl/>
        </w:rPr>
        <w:t xml:space="preserve">שכבת גיל שבה את/ה מלמד/ת: כיתות ז' עד ט'</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left"/>
      </w:pPr>
      <w:r>
        <w:rPr>
          <w:rFonts w:ascii="Times New Roman" w:cs="David" w:hAnsi="Times New Roman"/>
          <w:b/>
          <w:bCs/>
          <w:sz w:val="24"/>
          <w:szCs w:val="24"/>
          <w:rtl/>
        </w:rPr>
        <w:t xml:space="preserve">חלק א': רקע והיכרות</w:t>
      </w:r>
    </w:p>
    <w:p>
      <w:pPr>
        <w:bidi/>
        <w:spacing w:after="120" w:before="0" w:line="48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48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48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480" w:lineRule="auto"/>
        <w:jc w:val="left"/>
      </w:pPr>
      <w:r>
        <w:rPr>
          <w:rFonts w:ascii="Times New Roman" w:cs="David" w:hAnsi="Times New Roman"/>
          <w:b/>
          <w:bCs/>
          <w:sz w:val="24"/>
          <w:szCs w:val="24"/>
          <w:rtl/>
        </w:rPr>
        <w:t xml:space="preserve">חלק ב': דרכי תקשורת עם ההורים</w:t>
      </w:r>
    </w:p>
    <w:p>
      <w:pPr>
        <w:bidi/>
        <w:spacing w:after="120" w:before="0" w:line="48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48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48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48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48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48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48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48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48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48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480" w:lineRule="auto"/>
        <w:jc w:val="left"/>
      </w:pPr>
      <w:r>
        <w:rPr>
          <w:rFonts w:ascii="Times New Roman" w:cs="David" w:hAnsi="Times New Roman"/>
          <w:b/>
          <w:bCs/>
          <w:sz w:val="24"/>
          <w:szCs w:val="24"/>
          <w:rtl/>
        </w:rPr>
        <w:t xml:space="preserve">חלק ד': אתגרים ומבט לעתיד</w:t>
      </w:r>
    </w:p>
    <w:p>
      <w:pPr>
        <w:bidi/>
        <w:spacing w:after="120" w:before="0" w:line="48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48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48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48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480" w:lineRule="auto"/>
        <w:jc w:val="lef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48</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480" w:lineRule="auto"/>
        <w:jc w:val="both"/>
      </w:pPr>
      <w:r>
        <w:rPr>
          <w:rFonts w:ascii="Times New Roman" w:cs="David" w:hAnsi="Times New Roman"/>
          <w:sz w:val="24"/>
          <w:szCs w:val="24"/>
          <w:rtl/>
        </w:rPr>
        <w:t xml:space="preserve">ותק בהוראה: 22 שנים</w:t>
      </w:r>
    </w:p>
    <w:p>
      <w:pPr>
        <w:bidi/>
        <w:spacing w:after="120" w:before="0" w:line="480" w:lineRule="auto"/>
        <w:jc w:val="both"/>
      </w:pPr>
      <w:r>
        <w:rPr>
          <w:rFonts w:ascii="Times New Roman" w:cs="David" w:hAnsi="Times New Roman"/>
          <w:sz w:val="24"/>
          <w:szCs w:val="24"/>
          <w:rtl/>
        </w:rPr>
        <w:t xml:space="preserve">ותק בבית הספר הנוכחי: 14 שנים</w:t>
      </w:r>
    </w:p>
    <w:p>
      <w:pPr>
        <w:bidi/>
        <w:spacing w:after="120" w:before="0" w:line="48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480" w:lineRule="auto"/>
        <w:jc w:val="both"/>
      </w:pPr>
      <w:r>
        <w:rPr>
          <w:rFonts w:ascii="Times New Roman" w:cs="David" w:hAnsi="Times New Roman"/>
          <w:sz w:val="24"/>
          <w:szCs w:val="24"/>
          <w:rtl/>
        </w:rPr>
        <w:t xml:space="preserve">שכבת גיל שבה את/ה מלמד/ת: כיתות ח' ו-ט'</w:t>
      </w:r>
    </w:p>
    <w:p>
      <w:pPr>
        <w:bidi/>
        <w:spacing w:after="120" w:before="0" w:line="48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2026-10-17T22:51:26.051Z</dcterms:created>
  <dcterms:modified xsi:type="dcterms:W3CDTF">2026-10-17T22:51:26.051Z</dcterms:modified>
</cp:coreProperties>
</file>

<file path=docProps/custom.xml><?xml version="1.0" encoding="utf-8"?>
<Properties xmlns="http://schemas.openxmlformats.org/officeDocument/2006/custom-properties" xmlns:vt="http://schemas.openxmlformats.org/officeDocument/2006/docPropsVTypes"/>
</file>