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David" w:hAnsi="David" w:cs="David"/>
          <w:b/>
          <w:sz w:val="32"/>
          <w:rtl/>
          <w:szCs w:val="32"/>
          <w:bCs/>
        </w:rPr>
        <w:t>נימוק לבחירת מערכת השעות</w:t>
      </w:r>
    </w:p>
    <w:p>
      <w:pPr>
        <w:bidi/>
        <w:spacing w:line="360" w:lineRule="auto"/>
        <w:jc w:val="right"/>
      </w:pPr>
      <w:r>
        <w:rPr>
          <w:rFonts w:ascii="David" w:hAnsi="David" w:cs="David"/>
          <w:b w:val="0"/>
          <w:sz w:val="24"/>
          <w:rtl/>
          <w:szCs w:val="24"/>
        </w:rPr>
        <w:t>במערכת השעות שבניתי הקצבתי 26 שעות חובה שבועיות מתוך 27 האפשריות, וכולן מתמקדות באשכול המדעים: מתמטיקה (7 שעות), פיזיקה (7 שעות), מדעי המחשב (7 שעות) וביולוגיה (5 שעות). לאשכולות הרוח, המורשת, החברה, השפות והחינוך הגופני לא הקצבתי שעות חובה, והם נשארים בגדר מקצועות בחירה ופעילות בלתי פורמלית.</w:t>
      </w:r>
    </w:p>
    <w:p>
      <w:pPr>
        <w:bidi/>
        <w:spacing w:line="360" w:lineRule="auto"/>
        <w:jc w:val="right"/>
      </w:pPr>
      <w:r>
        <w:rPr>
          <w:rFonts w:ascii="David" w:hAnsi="David" w:cs="David"/>
          <w:b w:val="0"/>
          <w:sz w:val="24"/>
          <w:rtl/>
          <w:szCs w:val="24"/>
        </w:rPr>
        <w:t>מי שחושב שבית הספר צריך להעניק בראש ובראשונה זהות, ערכים ומורשת עשוי לראות בבחירה הזאת ויתור על חינוך הומניסטי. אני חושב אחרת. המדע לימד אותי לבחון כל טענה לפי ראיות ולבסס מסקנות על הנחות יסוד מוגדרות, וזו בדיוק החשיבה הביקורתית שאזרח במדינה דמוקרטית זקוק לה. נוסף על כך, כלכלת ישראל נשענת על תעשיות ידע וטכנולוגיה, ותלמיד שמסיים תיכון בלי בסיס מתמטי ומדעי איתן נשאר מאחור. ריכוז השעות מאפשר גם העמקה אמיתית במקום פיזור של שעה או שעתיים על מקצועות רבים.</w:t>
      </w:r>
    </w:p>
    <w:p>
      <w:pPr>
        <w:bidi/>
        <w:spacing w:line="360" w:lineRule="auto"/>
        <w:jc w:val="right"/>
      </w:pPr>
      <w:r>
        <w:rPr>
          <w:rFonts w:ascii="David" w:hAnsi="David" w:cs="David"/>
          <w:b w:val="0"/>
          <w:sz w:val="24"/>
          <w:rtl/>
          <w:szCs w:val="24"/>
        </w:rPr>
        <w:t xml:space="preserve">עמדתי נתמכת במקורות הפרק. </w:t>
      </w:r>
      <w:r>
        <w:rPr>
          <w:rFonts w:ascii="David" w:hAnsi="David" w:cs="David"/>
          <w:b w:val="0"/>
          <w:color w:val="C00000"/>
          <w:sz w:val="24"/>
          <w:rtl/>
          <w:szCs w:val="24"/>
          <w:highlight w:val="yellow"/>
        </w:rPr>
        <w:t>[שם המחבר/ת], במקור "[כותרת המקור]", כותב/ת: "[ציטוט מדויק מהמקור]"</w:t>
      </w:r>
      <w:r>
        <w:rPr>
          <w:rFonts w:ascii="David" w:hAnsi="David" w:cs="David"/>
          <w:b w:val="0"/>
          <w:sz w:val="24"/>
          <w:rtl/>
          <w:szCs w:val="24"/>
        </w:rPr>
        <w:t xml:space="preserve">. דברים אלה מחזקים את הטענה כי </w:t>
      </w:r>
      <w:r>
        <w:rPr>
          <w:rFonts w:ascii="David" w:hAnsi="David" w:cs="David"/>
          <w:b w:val="0"/>
          <w:color w:val="C00000"/>
          <w:sz w:val="24"/>
          <w:rtl/>
          <w:szCs w:val="24"/>
          <w:highlight w:val="yellow"/>
        </w:rPr>
        <w:t>[הסבר הקשר לעמדה]</w:t>
      </w:r>
      <w:r>
        <w:rPr>
          <w:rFonts w:ascii="David" w:hAnsi="David" w:cs="David"/>
          <w:b w:val="0"/>
          <w:sz w:val="24"/>
          <w:rtl/>
          <w:szCs w:val="24"/>
        </w:rPr>
        <w:t xml:space="preserve">. מנגד, </w:t>
      </w:r>
      <w:r>
        <w:rPr>
          <w:rFonts w:ascii="David" w:hAnsi="David" w:cs="David"/>
          <w:b w:val="0"/>
          <w:color w:val="C00000"/>
          <w:sz w:val="24"/>
          <w:rtl/>
          <w:szCs w:val="24"/>
          <w:highlight w:val="yellow"/>
        </w:rPr>
        <w:t>[שם המחבר/ת], במקור "[כותרת המקור]", טוען/ת: "[ציטוט מדויק מהמקור]"</w:t>
      </w:r>
      <w:r>
        <w:rPr>
          <w:rFonts w:ascii="David" w:hAnsi="David" w:cs="David"/>
          <w:b w:val="0"/>
          <w:sz w:val="24"/>
          <w:rtl/>
          <w:szCs w:val="24"/>
        </w:rPr>
        <w:t>. ואולם גם טענה זו אינה שוללת את גישתי, שכן ערכים וזהות אפשר לטפח בבית, בתנועות הנוער ובשעות בחירה, ואילו את התשתית המדעית קשה מאוד להשלים מחוץ לבית הספר.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