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bidi/>
        <w:spacing w:line="480"/>
        <w:jc w:val="center"/>
      </w:pPr>
      <w:r>
        <w:rPr>
          <w:rFonts w:ascii="David" w:cs="David" w:eastAsia="David" w:hAnsi="David"/>
          <w:b/>
          <w:bCs/>
          <w:sz w:val="36"/>
          <w:szCs w:val="36"/>
          <w:rtl/>
        </w:rPr>
        <w:t xml:space="preserve">רווחה נפשית, ותק באגף ותפיסת הלגיטימיות של סגל הכליאה בקרב אסירים שפוטים בישראל</w:t>
      </w:r>
    </w:p>
    <w:p>
      <w:r>
        <w:t xml:space="preserve"/>
      </w:r>
    </w:p>
    <w:p>
      <w:r>
        <w:t xml:space="preserve"/>
      </w:r>
    </w:p>
    <w:p>
      <w:pPr>
        <w:bidi/>
        <w:spacing w:after="120" w:line="360"/>
        <w:jc w:val="center"/>
      </w:pPr>
      <w:r>
        <w:rPr>
          <w:rFonts w:ascii="David" w:cs="David" w:eastAsia="David" w:hAnsi="David"/>
          <w:sz w:val="24"/>
          <w:szCs w:val="24"/>
          <w:rtl/>
        </w:rPr>
        <w:t xml:space="preserve">עבודה מוגשת במסגרת סמינריון תנאי כליאה של אסירים פליליים בישראל ובעולם</w:t>
      </w:r>
    </w:p>
    <w:p>
      <w:pPr>
        <w:bidi/>
        <w:spacing w:after="120" w:line="360"/>
        <w:jc w:val="center"/>
      </w:pPr>
      <w:r>
        <w:rPr>
          <w:rFonts w:ascii="David" w:cs="David" w:eastAsia="David" w:hAnsi="David"/>
          <w:sz w:val="24"/>
          <w:szCs w:val="24"/>
          <w:rtl/>
        </w:rPr>
        <w:t xml:space="preserve">מרצה: ד"ר יוחנן ועקנין</w:t>
      </w:r>
    </w:p>
    <w:p>
      <w:r>
        <w:t xml:space="preserve"/>
      </w:r>
    </w:p>
    <w:p>
      <w:pPr>
        <w:bidi/>
        <w:spacing w:after="120" w:line="360"/>
        <w:jc w:val="center"/>
      </w:pPr>
      <w:r>
        <w:rPr>
          <w:rFonts w:ascii="David" w:cs="David" w:eastAsia="David" w:hAnsi="David"/>
          <w:sz w:val="24"/>
          <w:szCs w:val="24"/>
          <w:rtl/>
        </w:rPr>
        <w:t xml:space="preserve">מאת</w:t>
      </w:r>
    </w:p>
    <w:p>
      <w:pPr>
        <w:bidi/>
        <w:spacing w:after="120" w:line="360"/>
        <w:jc w:val="center"/>
      </w:pPr>
      <w:r>
        <w:rPr>
          <w:rFonts w:ascii="David" w:cs="David" w:eastAsia="David" w:hAnsi="David"/>
          <w:sz w:val="24"/>
          <w:szCs w:val="24"/>
          <w:highlight w:val="yellow"/>
          <w:rtl/>
        </w:rPr>
        <w:t xml:space="preserve">שם, מספר זהות</w:t>
      </w:r>
    </w:p>
    <w:p>
      <w:pPr>
        <w:bidi/>
        <w:spacing w:after="120" w:line="360"/>
        <w:jc w:val="center"/>
      </w:pPr>
      <w:r>
        <w:rPr>
          <w:rFonts w:ascii="David" w:cs="David" w:eastAsia="David" w:hAnsi="David"/>
          <w:sz w:val="24"/>
          <w:szCs w:val="24"/>
          <w:highlight w:val="yellow"/>
          <w:rtl/>
        </w:rPr>
        <w:t xml:space="preserve">שם, מספר זהות</w:t>
      </w:r>
    </w:p>
    <w:p>
      <w:r>
        <w:t xml:space="preserve"/>
      </w:r>
    </w:p>
    <w:p>
      <w:r>
        <w:t xml:space="preserve"/>
      </w:r>
    </w:p>
    <w:p>
      <w:pPr>
        <w:bidi/>
        <w:spacing w:after="120" w:line="360"/>
        <w:jc w:val="center"/>
      </w:pPr>
      <w:r>
        <w:rPr>
          <w:rFonts w:ascii="David" w:cs="David" w:eastAsia="David" w:hAnsi="David"/>
          <w:sz w:val="24"/>
          <w:szCs w:val="24"/>
          <w:rtl/>
        </w:rPr>
        <w:t xml:space="preserve">החוג לקרימינולוגיה</w:t>
      </w:r>
    </w:p>
    <w:p>
      <w:pPr>
        <w:bidi/>
        <w:spacing w:after="120" w:line="360"/>
        <w:jc w:val="center"/>
      </w:pPr>
      <w:r>
        <w:rPr>
          <w:rFonts w:ascii="David" w:cs="David" w:eastAsia="David" w:hAnsi="David"/>
          <w:sz w:val="24"/>
          <w:szCs w:val="24"/>
          <w:rtl/>
        </w:rPr>
        <w:t xml:space="preserve">המכללה האקדמית אשקלון</w:t>
      </w:r>
    </w:p>
    <w:p>
      <w:r>
        <w:t xml:space="preserve"/>
      </w:r>
    </w:p>
    <w:p>
      <w:r>
        <w:t xml:space="preserve"/>
      </w:r>
    </w:p>
    <w:p>
      <w:r>
        <w:t xml:space="preserve"/>
      </w:r>
    </w:p>
    <w:p>
      <w:r>
        <w:t xml:space="preserve"/>
      </w:r>
    </w:p>
    <w:p>
      <w:pPr>
        <w:bidi/>
        <w:spacing w:after="120" w:line="360"/>
        <w:jc w:val="center"/>
      </w:pPr>
      <w:r>
        <w:rPr>
          <w:rFonts w:ascii="David" w:cs="David" w:eastAsia="David" w:hAnsi="David"/>
          <w:sz w:val="24"/>
          <w:szCs w:val="24"/>
          <w:rtl/>
        </w:rPr>
        <w:t xml:space="preserve">אשקלון, </w:t>
      </w:r>
      <w:r>
        <w:rPr>
          <w:rFonts w:ascii="David" w:cs="David" w:eastAsia="David" w:hAnsi="David"/>
          <w:sz w:val="24"/>
          <w:szCs w:val="24"/>
          <w:highlight w:val="yellow"/>
          <w:rtl/>
        </w:rPr>
        <w:t xml:space="preserve">אלול תשפ"ו, ספטמבר </w:t>
      </w:r>
      <w:r>
        <w:rPr>
          <w:rFonts w:ascii="Times New Roman" w:cs="Times New Roman" w:eastAsia="Times New Roman" w:hAnsi="Times New Roman"/>
          <w:sz w:val="24"/>
          <w:szCs w:val="24"/>
          <w:highlight w:val="yellow"/>
        </w:rPr>
        <w:t xml:space="preserve">2026</w:t>
      </w:r>
    </w:p>
    <w:p>
      <w:pPr>
        <w:pageBreakBefore/>
        <w:bidi/>
        <w:spacing w:after="240"/>
        <w:jc w:val="right"/>
      </w:pPr>
      <w:r>
        <w:rPr>
          <w:rFonts w:ascii="David" w:cs="David" w:eastAsia="David" w:hAnsi="David"/>
          <w:b/>
          <w:bCs/>
          <w:sz w:val="32"/>
          <w:szCs w:val="32"/>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pStyle w:val="Heading1"/>
        <w:pageBreakBefore/>
        <w:bidi/>
        <w:spacing w:after="240" w:before="0" w:line="360"/>
        <w:jc w:val="right"/>
      </w:pPr>
      <w:r>
        <w:rPr>
          <w:rFonts w:ascii="David" w:cs="David" w:eastAsia="David" w:hAnsi="David"/>
          <w:b/>
          <w:bCs/>
          <w:sz w:val="32"/>
          <w:szCs w:val="32"/>
          <w:rtl/>
        </w:rPr>
        <w:t xml:space="preserve">תקציר בעברית</w:t>
      </w:r>
    </w:p>
    <w:p>
      <w:pPr>
        <w:bidi/>
        <w:spacing w:after="120" w:line="360"/>
        <w:ind w:firstLine="567"/>
        <w:jc w:val="both"/>
      </w:pPr>
      <w:r>
        <w:rPr>
          <w:rFonts w:ascii="David" w:cs="David" w:eastAsia="David" w:hAnsi="David"/>
          <w:sz w:val="24"/>
          <w:szCs w:val="24"/>
          <w:rtl/>
        </w:rPr>
        <w:t xml:space="preserve">המחקר בחן שתי שאלות קשורות: באיזו מידה קיים קשר בין רווחה נפשית לבין תפיסת הלגיטימיות של סגל הכליאה בקרב אסירים שפוטים בישראל, ובאיזו מידה הלגיטימיות קשורה לוותק באגף. המסגרת התאורטית נשענת על גישת הצדק הפרוצדורלי ועל ספרות ההסתגלות למאסר. הנתונים הם נתונים סינתטיים המבוססים על סקר תנאי המחיה שנערך בשירות בתי הסוהר בסתיו </w:t>
      </w:r>
      <w:r>
        <w:rPr>
          <w:rFonts w:ascii="Times New Roman" w:cs="Times New Roman" w:eastAsia="Times New Roman" w:hAnsi="Times New Roman"/>
          <w:sz w:val="24"/>
          <w:szCs w:val="24"/>
        </w:rPr>
        <w:t xml:space="preserve">2021,</w:t>
      </w:r>
      <w:r>
        <w:rPr>
          <w:rFonts w:ascii="David" w:cs="David" w:eastAsia="David" w:hAnsi="David"/>
          <w:sz w:val="24"/>
          <w:szCs w:val="24"/>
          <w:rtl/>
        </w:rPr>
        <w:t xml:space="preserve"> והניתוח צומצם ל</w:t>
      </w:r>
      <w:r>
        <w:rPr>
          <w:rFonts w:ascii="Times New Roman" w:cs="Times New Roman" w:eastAsia="Times New Roman" w:hAnsi="Times New Roman"/>
          <w:sz w:val="24"/>
          <w:szCs w:val="24"/>
        </w:rPr>
        <w:t xml:space="preserve">-2,379</w:t>
      </w:r>
      <w:r>
        <w:rPr>
          <w:rFonts w:ascii="David" w:cs="David" w:eastAsia="David" w:hAnsi="David"/>
          <w:sz w:val="24"/>
          <w:szCs w:val="24"/>
          <w:rtl/>
        </w:rPr>
        <w:t xml:space="preserve"> שפוטים. הלגיטימיות נמדדה בשלושה פריטים והרווחה הנפשית בחמישה, בסולם של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עד </w:t>
      </w:r>
      <w:r>
        <w:rPr>
          <w:rFonts w:ascii="Times New Roman" w:cs="Times New Roman" w:eastAsia="Times New Roman" w:hAnsi="Times New Roman"/>
          <w:sz w:val="24"/>
          <w:szCs w:val="24"/>
        </w:rPr>
        <w:t xml:space="preserve">5.</w:t>
      </w:r>
      <w:r>
        <w:rPr>
          <w:rFonts w:ascii="David" w:cs="David" w:eastAsia="David" w:hAnsi="David"/>
          <w:sz w:val="24"/>
          <w:szCs w:val="24"/>
          <w:rtl/>
        </w:rPr>
        <w:t xml:space="preserve"> נמצא קשר חיובי מובהק בעוצמה בינונית בין רווחה נפשית ללגיטימיות </w:t>
      </w:r>
      <w:r>
        <w:rPr>
          <w:rFonts w:ascii="Times New Roman" w:cs="Times New Roman" w:eastAsia="Times New Roman" w:hAnsi="Times New Roman"/>
          <w:sz w:val="24"/>
          <w:szCs w:val="24"/>
        </w:rPr>
        <w:t xml:space="preserve">(r = 0.32, p &lt; 0.001)</w:t>
      </w:r>
      <w:r>
        <w:rPr>
          <w:rFonts w:ascii="David" w:cs="David" w:eastAsia="David" w:hAnsi="David"/>
          <w:sz w:val="24"/>
          <w:szCs w:val="24"/>
          <w:rtl/>
        </w:rPr>
        <w:t xml:space="preserve">, והרווחה הנפשית הסבירה כעשרה אחוזים מהשונות בלגיטימיות גם בפיקוח על גיל ולאום. לא נמצא קשר עקבי בין ותק באגף ללגיטימיות. הממצאים תואמים מחקרים מהולנד, מאנגליה ומאוסטרליה, ומלמדים שרווחת האסיר ותפיסת הסגל כרוכות זו בזו. בסיום מוצעות המלצות יישומיות לניהול אגפים.</w:t>
      </w:r>
    </w:p>
    <w:p>
      <w:pPr>
        <w:bidi/>
        <w:spacing w:after="120" w:line="360"/>
        <w:jc w:val="both"/>
      </w:pPr>
      <w:r>
        <w:rPr>
          <w:rFonts w:ascii="David" w:cs="David" w:eastAsia="David" w:hAnsi="David"/>
          <w:sz w:val="24"/>
          <w:szCs w:val="24"/>
          <w:rtl/>
        </w:rPr>
        <w:t xml:space="preserve">מילות מפתח: לגיטימיות, רווחה נפשית, צדק פרוצדורלי, אסירים שפוטים, שירות בתי הסוהר</w:t>
      </w:r>
    </w:p>
    <w:p>
      <w:pPr>
        <w:pStyle w:val="Heading1"/>
        <w:pageBreakBefore/>
        <w:bidi/>
        <w:spacing w:after="240" w:before="0" w:line="360"/>
        <w:jc w:val="right"/>
      </w:pPr>
      <w:r>
        <w:rPr>
          <w:rFonts w:ascii="David" w:cs="David" w:eastAsia="David" w:hAnsi="David"/>
          <w:b/>
          <w:bCs/>
          <w:sz w:val="32"/>
          <w:szCs w:val="32"/>
          <w:rtl/>
        </w:rPr>
        <w:t xml:space="preserve">תקציר באנגלית</w:t>
      </w:r>
    </w:p>
    <w:p>
      <w:pPr>
        <w:spacing w:after="120" w:line="360"/>
        <w:jc w:val="both"/>
      </w:pPr>
      <w:r>
        <w:rPr>
          <w:rFonts w:ascii="Times New Roman" w:cs="Times New Roman" w:eastAsia="Times New Roman" w:hAnsi="Times New Roman"/>
          <w:sz w:val="24"/>
          <w:szCs w:val="24"/>
        </w:rPr>
        <w:t xml:space="preserve">This study examined two related questions: to what extent is mental well-being associated with the perceived legitimacy of prison staff among sentenced prisoners in Israel, and to what extent is legitimacy associated with time spent in the wing. The theoretical framework draws on procedural justice theory and on the literature on adaptation to imprisonment. The data are synthetic and modeled on the Israel Prison Service living conditions survey conducted in autumn 2021; the analysis was restricted to 2,379 sentenced prisoners. Legitimacy was measured with three items and well-being with five, on a 1 to 5 scale. A significant, moderate positive correlation was found between well-being and legitimacy (r = .32, p &lt; .001), and well-being explained about ten percent of the variance in legitimacy after controlling for age and nationality. No consistent relationship was found between time in the wing and legitimacy. The findings are consistent with studies from the Netherlands, England and Australia, and suggest that prisoners' well-being and their view of staff are intertwined. Practical recommendations for wing management are offered.</w:t>
      </w:r>
    </w:p>
    <w:p>
      <w:pPr>
        <w:spacing w:after="120" w:line="360"/>
        <w:jc w:val="both"/>
      </w:pPr>
      <w:r>
        <w:rPr>
          <w:rFonts w:ascii="Times New Roman" w:cs="Times New Roman" w:eastAsia="Times New Roman" w:hAnsi="Times New Roman"/>
          <w:sz w:val="24"/>
          <w:szCs w:val="24"/>
        </w:rPr>
        <w:t xml:space="preserve">Keywords: legitimacy, mental well-being, procedural justice, sentenced prisoners, Israel Prison Service</w:t>
      </w:r>
    </w:p>
    <w:p>
      <w:pPr>
        <w:pStyle w:val="Heading1"/>
        <w:pageBreakBefore/>
        <w:bidi/>
        <w:spacing w:after="240" w:before="0" w:line="360"/>
        <w:jc w:val="right"/>
      </w:pPr>
      <w:r>
        <w:rPr>
          <w:rFonts w:ascii="David" w:cs="David" w:eastAsia="David" w:hAnsi="David"/>
          <w:b/>
          <w:bCs/>
          <w:sz w:val="32"/>
          <w:szCs w:val="32"/>
          <w:rtl/>
        </w:rPr>
        <w:t xml:space="preserve">מבוא</w:t>
      </w:r>
    </w:p>
    <w:p>
      <w:pPr>
        <w:bidi/>
        <w:spacing w:after="120" w:line="360"/>
        <w:ind w:firstLine="567"/>
        <w:jc w:val="both"/>
      </w:pPr>
      <w:r>
        <w:rPr>
          <w:rFonts w:ascii="David" w:cs="David" w:eastAsia="David" w:hAnsi="David"/>
          <w:sz w:val="24"/>
          <w:szCs w:val="24"/>
          <w:rtl/>
        </w:rPr>
        <w:t xml:space="preserve">בית הסוהר הוא מוסד שבו סמכות הסגל כמעט מוחלטת, ובכל זאת הסדר היומיומי באגף תלוי בשיתוף פעולה של האסירים. ספרקס ובוטומס </w:t>
      </w:r>
      <w:r>
        <w:rPr>
          <w:rFonts w:ascii="Times New Roman" w:cs="Times New Roman" w:eastAsia="Times New Roman" w:hAnsi="Times New Roman"/>
          <w:sz w:val="24"/>
          <w:szCs w:val="24"/>
        </w:rPr>
        <w:t xml:space="preserve">(Sparks &amp; Bottoms, 1995)</w:t>
      </w:r>
      <w:r>
        <w:rPr>
          <w:rFonts w:ascii="David" w:cs="David" w:eastAsia="David" w:hAnsi="David"/>
          <w:sz w:val="24"/>
          <w:szCs w:val="24"/>
          <w:rtl/>
        </w:rPr>
        <w:t xml:space="preserve"> טענו שסדר בבתי סוהר אינו מתקיים בכוח בלבד אלא נשען על תחושת האסירים שהמשטר שבו הם חיים הוגן, ושמי שמפעיל אותו ראוי לציות. תחושה זו היא מה שהספרות מכנה לגיטימיות: המידה שבה הכפופים לסמכות רואים בה סמכות שראוי לציית לה, ולא רק סמכות שאפשר להיענש על ידה </w:t>
      </w:r>
      <w:r>
        <w:rPr>
          <w:rFonts w:ascii="Times New Roman" w:cs="Times New Roman" w:eastAsia="Times New Roman" w:hAnsi="Times New Roman"/>
          <w:sz w:val="24"/>
          <w:szCs w:val="24"/>
        </w:rPr>
        <w:t xml:space="preserve">(Tyler, 1990)</w:t>
      </w:r>
      <w:r>
        <w:rPr>
          <w:rFonts w:ascii="David" w:cs="David" w:eastAsia="David" w:hAnsi="David"/>
          <w:sz w:val="24"/>
          <w:szCs w:val="24"/>
          <w:rtl/>
        </w:rPr>
        <w:t xml:space="preserve">. בהקשר הכליאה, הלגיטימיות היא האופן שבו האסיר שופט את הסוהרים ואת אנשי הסגל: האם הם מכבדים אותו, האם אפשר לפנות אליהם, האם בקשותיו מטופלות.</w:t>
      </w:r>
    </w:p>
    <w:p>
      <w:pPr>
        <w:bidi/>
        <w:spacing w:after="120" w:line="360"/>
        <w:ind w:firstLine="567"/>
        <w:jc w:val="both"/>
      </w:pPr>
      <w:r>
        <w:rPr>
          <w:rFonts w:ascii="David" w:cs="David" w:eastAsia="David" w:hAnsi="David"/>
          <w:sz w:val="24"/>
          <w:szCs w:val="24"/>
          <w:rtl/>
        </w:rPr>
        <w:t xml:space="preserve">ההקשר הישראלי מוסיף לשאלה משקל. תקנות בתי הסוהר קובעות שטח מחיה של </w:t>
      </w:r>
      <w:r>
        <w:rPr>
          <w:rFonts w:ascii="Times New Roman" w:cs="Times New Roman" w:eastAsia="Times New Roman" w:hAnsi="Times New Roman"/>
          <w:sz w:val="24"/>
          <w:szCs w:val="24"/>
        </w:rPr>
        <w:t xml:space="preserve">4.5</w:t>
      </w:r>
      <w:r>
        <w:rPr>
          <w:rFonts w:ascii="David" w:cs="David" w:eastAsia="David" w:hAnsi="David"/>
          <w:sz w:val="24"/>
          <w:szCs w:val="24"/>
          <w:rtl/>
        </w:rPr>
        <w:t xml:space="preserve"> מטרים רבועים לאסיר, אך במאי </w:t>
      </w:r>
      <w:r>
        <w:rPr>
          <w:rFonts w:ascii="Times New Roman" w:cs="Times New Roman" w:eastAsia="Times New Roman" w:hAnsi="Times New Roman"/>
          <w:sz w:val="24"/>
          <w:szCs w:val="24"/>
        </w:rPr>
        <w:t xml:space="preserve">2019,</w:t>
      </w:r>
      <w:r>
        <w:rPr>
          <w:rFonts w:ascii="David" w:cs="David" w:eastAsia="David" w:hAnsi="David"/>
          <w:sz w:val="24"/>
          <w:szCs w:val="24"/>
          <w:rtl/>
        </w:rPr>
        <w:t xml:space="preserve"> מועד הפעימה הראשונה שקבע בג"ץ בעתירה </w:t>
      </w:r>
      <w:r>
        <w:rPr>
          <w:rFonts w:ascii="Times New Roman" w:cs="Times New Roman" w:eastAsia="Times New Roman" w:hAnsi="Times New Roman"/>
          <w:sz w:val="24"/>
          <w:szCs w:val="24"/>
        </w:rPr>
        <w:t xml:space="preserve">1892</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14,</w:t>
      </w:r>
      <w:r>
        <w:rPr>
          <w:rFonts w:ascii="David" w:cs="David" w:eastAsia="David" w:hAnsi="David"/>
          <w:sz w:val="24"/>
          <w:szCs w:val="24"/>
          <w:rtl/>
        </w:rPr>
        <w:t xml:space="preserve"> כ</w:t>
      </w:r>
      <w:r>
        <w:rPr>
          <w:rFonts w:ascii="Times New Roman" w:cs="Times New Roman" w:eastAsia="Times New Roman" w:hAnsi="Times New Roman"/>
          <w:sz w:val="24"/>
          <w:szCs w:val="24"/>
        </w:rPr>
        <w:t xml:space="preserve">-80</w:t>
      </w:r>
      <w:r>
        <w:rPr>
          <w:rFonts w:ascii="David" w:cs="David" w:eastAsia="David" w:hAnsi="David"/>
          <w:sz w:val="24"/>
          <w:szCs w:val="24"/>
          <w:rtl/>
        </w:rPr>
        <w:t xml:space="preserve"> אחוזים ממקומות הכליאה עדיין היו קטנים מתקן זה (יכימוביץ-כהן, </w:t>
      </w:r>
      <w:r>
        <w:rPr>
          <w:rFonts w:ascii="Times New Roman" w:cs="Times New Roman" w:eastAsia="Times New Roman" w:hAnsi="Times New Roman"/>
          <w:sz w:val="24"/>
          <w:szCs w:val="24"/>
        </w:rPr>
        <w:t xml:space="preserve">2020</w:t>
      </w:r>
      <w:r>
        <w:rPr>
          <w:rFonts w:ascii="David" w:cs="David" w:eastAsia="David" w:hAnsi="David"/>
          <w:sz w:val="24"/>
          <w:szCs w:val="24"/>
          <w:rtl/>
        </w:rPr>
        <w:t xml:space="preserve">). מחקר שנערך בשירות בתי הסוהר מצא שככל שהשטח האפקטיבי לאסיר קטן, כך עולה מספר אירועי האלימות באגף (בן צבי וכרמל, </w:t>
      </w:r>
      <w:r>
        <w:rPr>
          <w:rFonts w:ascii="Times New Roman" w:cs="Times New Roman" w:eastAsia="Times New Roman" w:hAnsi="Times New Roman"/>
          <w:sz w:val="24"/>
          <w:szCs w:val="24"/>
        </w:rPr>
        <w:t xml:space="preserve">2013</w:t>
      </w:r>
      <w:r>
        <w:rPr>
          <w:rFonts w:ascii="David" w:cs="David" w:eastAsia="David" w:hAnsi="David"/>
          <w:sz w:val="24"/>
          <w:szCs w:val="24"/>
          <w:rtl/>
        </w:rPr>
        <w:t xml:space="preserve">). על רקע זה נערך בסתיו </w:t>
      </w:r>
      <w:r>
        <w:rPr>
          <w:rFonts w:ascii="Times New Roman" w:cs="Times New Roman" w:eastAsia="Times New Roman" w:hAnsi="Times New Roman"/>
          <w:sz w:val="24"/>
          <w:szCs w:val="24"/>
        </w:rPr>
        <w:t xml:space="preserve">2021</w:t>
      </w:r>
      <w:r>
        <w:rPr>
          <w:rFonts w:ascii="David" w:cs="David" w:eastAsia="David" w:hAnsi="David"/>
          <w:sz w:val="24"/>
          <w:szCs w:val="24"/>
          <w:rtl/>
        </w:rPr>
        <w:t xml:space="preserve"> סקר תנאי המחיה הראשון בהיקפו בשירות בתי הסוהר, בקרב </w:t>
      </w:r>
      <w:r>
        <w:rPr>
          <w:rFonts w:ascii="Times New Roman" w:cs="Times New Roman" w:eastAsia="Times New Roman" w:hAnsi="Times New Roman"/>
          <w:sz w:val="24"/>
          <w:szCs w:val="24"/>
        </w:rPr>
        <w:t xml:space="preserve">2,363</w:t>
      </w:r>
      <w:r>
        <w:rPr>
          <w:rFonts w:ascii="David" w:cs="David" w:eastAsia="David" w:hAnsi="David"/>
          <w:sz w:val="24"/>
          <w:szCs w:val="24"/>
          <w:rtl/>
        </w:rPr>
        <w:t xml:space="preserve"> שפוטים ו</w:t>
      </w:r>
      <w:r>
        <w:rPr>
          <w:rFonts w:ascii="Times New Roman" w:cs="Times New Roman" w:eastAsia="Times New Roman" w:hAnsi="Times New Roman"/>
          <w:sz w:val="24"/>
          <w:szCs w:val="24"/>
        </w:rPr>
        <w:t xml:space="preserve">-1,427</w:t>
      </w:r>
      <w:r>
        <w:rPr>
          <w:rFonts w:ascii="David" w:cs="David" w:eastAsia="David" w:hAnsi="David"/>
          <w:sz w:val="24"/>
          <w:szCs w:val="24"/>
          <w:rtl/>
        </w:rPr>
        <w:t xml:space="preserve"> עצורים פליליים. הסקר בחן תשעה תחומים של תנאי מחיה ומצא שהלגיטימיות ממתנת את הקשר בין שביעות הרצון מתנאי המחיה לבין שביעות הרצון מפעילויות חינוך, טיפול ושיקום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w:t>
      </w:r>
    </w:p>
    <w:p>
      <w:pPr>
        <w:bidi/>
        <w:spacing w:after="120" w:line="360"/>
        <w:ind w:firstLine="567"/>
        <w:jc w:val="both"/>
      </w:pPr>
      <w:r>
        <w:rPr>
          <w:rFonts w:ascii="David" w:cs="David" w:eastAsia="David" w:hAnsi="David"/>
          <w:sz w:val="24"/>
          <w:szCs w:val="24"/>
          <w:rtl/>
        </w:rPr>
        <w:t xml:space="preserve">המחקר הנוכחי לוקח מאותו מערך נתונים חוט אחד ובוחן אותו לעומק: הקשר בין רווחתו הנפשית של האסיר לבין האופן שבו הוא תופס את לגיטימיות הסגל. לצדו נבחנת שאלה משנית, האם הלגיטימיות משתנה עם הוותק באגף. הבחירה להתמקד בשפוטים בלבד אינה מקרית. עצור נמצא במצב זמני ולא ודאי, ואילו לשפוט יש אופק ידוע, שהות ממושכת יותר באגף וחשיפה ארוכה יותר לאותו סגל. ואכן, בסקר המקורי דיווחו השפוטים על לגיטימיות גבוהה יותר מהעצורים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תהליכי ההסתגלות למאסר, שהם חלק ממוקד המחקר, רלוונטיים לשפוטים יותר מלעצורים </w:t>
      </w:r>
      <w:r>
        <w:rPr>
          <w:rFonts w:ascii="Times New Roman" w:cs="Times New Roman" w:eastAsia="Times New Roman" w:hAnsi="Times New Roman"/>
          <w:sz w:val="24"/>
          <w:szCs w:val="24"/>
        </w:rPr>
        <w:t xml:space="preserve">(Liebling &amp; Maruna, 2005)</w:t>
      </w:r>
      <w:r>
        <w:rPr>
          <w:rFonts w:ascii="David" w:cs="David" w:eastAsia="David" w:hAnsi="David"/>
          <w:sz w:val="24"/>
          <w:szCs w:val="24"/>
          <w:rtl/>
        </w:rPr>
        <w:t xml:space="preserve">.</w:t>
      </w:r>
    </w:p>
    <w:p>
      <w:pPr>
        <w:pStyle w:val="Heading2"/>
        <w:keepNext/>
        <w:bidi/>
        <w:spacing w:after="120" w:before="240" w:line="360"/>
        <w:jc w:val="right"/>
      </w:pPr>
      <w:r>
        <w:rPr>
          <w:rFonts w:ascii="David" w:cs="David" w:eastAsia="David" w:hAnsi="David"/>
          <w:b/>
          <w:bCs/>
          <w:sz w:val="28"/>
          <w:szCs w:val="28"/>
          <w:rtl/>
        </w:rPr>
        <w:t xml:space="preserve">מטרת המחקר ומבנה העבודה</w:t>
      </w:r>
    </w:p>
    <w:p>
      <w:pPr>
        <w:bidi/>
        <w:spacing w:after="120" w:line="360"/>
        <w:ind w:firstLine="567"/>
        <w:jc w:val="both"/>
      </w:pPr>
      <w:r>
        <w:rPr>
          <w:rFonts w:ascii="David" w:cs="David" w:eastAsia="David" w:hAnsi="David"/>
          <w:sz w:val="24"/>
          <w:szCs w:val="24"/>
          <w:rtl/>
        </w:rPr>
        <w:t xml:space="preserve">מטרת המחקר היא לבחון את הקשר בין רווחה נפשית לבין תפיסת הלגיטימיות של סגל הכליאה בקרב אסירים שפוטים, ואת הקשר בין ותק באגף ללגיטימיות. הלגיטימיות היא המשתנה התלוי. הרווחה הנפשית והוותק באגף הם המשתנים הבלתי תלויים, ולצדם משתני רקע: גיל, לאום ומספר מאסרים. העבודה פותחת בסקירת ספרות בשני חלקים, הסתגלות למאסר ורווחה נפשית מצד אחד ולגיטימיות של סגל הכליאה מצד שני, ומסתיימת בשאלות המחקר ובהשערות. לאחר מכן מוצגים פרק השיטה, פרק הממצאים והדיון, ובסופם מגבלות המחקר, סיכום, גילוי נאות ורשימת המקורות. הפלטים הסטטיסטיים מובאים בנספח.</w:t>
      </w:r>
    </w:p>
    <w:p>
      <w:pPr>
        <w:pStyle w:val="Heading1"/>
        <w:pageBreakBefore/>
        <w:bidi/>
        <w:spacing w:after="240" w:before="0" w:line="360"/>
        <w:jc w:val="right"/>
      </w:pPr>
      <w:r>
        <w:rPr>
          <w:rFonts w:ascii="David" w:cs="David" w:eastAsia="David" w:hAnsi="David"/>
          <w:b/>
          <w:bCs/>
          <w:sz w:val="32"/>
          <w:szCs w:val="32"/>
          <w:rtl/>
        </w:rPr>
        <w:t xml:space="preserve">סקירת ספרות</w:t>
      </w:r>
    </w:p>
    <w:p>
      <w:pPr>
        <w:pStyle w:val="Heading2"/>
        <w:keepNext/>
        <w:bidi/>
        <w:spacing w:after="120" w:before="240" w:line="360"/>
        <w:jc w:val="right"/>
      </w:pPr>
      <w:r>
        <w:rPr>
          <w:rFonts w:ascii="David" w:cs="David" w:eastAsia="David" w:hAnsi="David"/>
          <w:b/>
          <w:bCs/>
          <w:sz w:val="28"/>
          <w:szCs w:val="28"/>
          <w:rtl/>
        </w:rPr>
        <w:t xml:space="preserve">הסתגלות למאסר ורווחה נפשית</w:t>
      </w:r>
    </w:p>
    <w:p>
      <w:pPr>
        <w:bidi/>
        <w:spacing w:after="120" w:line="360"/>
        <w:ind w:firstLine="567"/>
        <w:jc w:val="both"/>
      </w:pPr>
      <w:r>
        <w:rPr>
          <w:rFonts w:ascii="David" w:cs="David" w:eastAsia="David" w:hAnsi="David"/>
          <w:sz w:val="24"/>
          <w:szCs w:val="24"/>
          <w:rtl/>
        </w:rPr>
        <w:t xml:space="preserve">נקודת המוצא לכל דיון בהסתגלות למאסר היא עבודתו של סייקס </w:t>
      </w:r>
      <w:r>
        <w:rPr>
          <w:rFonts w:ascii="Times New Roman" w:cs="Times New Roman" w:eastAsia="Times New Roman" w:hAnsi="Times New Roman"/>
          <w:sz w:val="24"/>
          <w:szCs w:val="24"/>
        </w:rPr>
        <w:t xml:space="preserve">(Sykes, 1958)</w:t>
      </w:r>
      <w:r>
        <w:rPr>
          <w:rFonts w:ascii="David" w:cs="David" w:eastAsia="David" w:hAnsi="David"/>
          <w:sz w:val="24"/>
          <w:szCs w:val="24"/>
          <w:rtl/>
        </w:rPr>
        <w:t xml:space="preserve">, שתיאר את "כאבי המאסר": אובדן החירות, אובדן טובין ושירותים, אובדן קשרים אינטימיים, אובדן האוטונומיה ואובדן תחושת הביטחון. סייקס ראה בכאבים אלו לא רק אי-נוחות אלא איום על תפיסת העצמי של האסיר, וטען שחיי האגף הם תגובה קולקטיבית לאיום זה. מודל המחסור שנגזר מעבודתו מניח שהתנהגות האסיר היא תוצאה ישירה של סביבת בית הסוהר, ולכן תנאי כליאה נוקשים צפויים להוליד התנהגות שלילית יותר (דוידסקו וולק, </w:t>
      </w:r>
      <w:r>
        <w:rPr>
          <w:rFonts w:ascii="Times New Roman" w:cs="Times New Roman" w:eastAsia="Times New Roman" w:hAnsi="Times New Roman"/>
          <w:sz w:val="24"/>
          <w:szCs w:val="24"/>
        </w:rPr>
        <w:t xml:space="preserve">2015</w:t>
      </w:r>
      <w:r>
        <w:rPr>
          <w:rFonts w:ascii="David" w:cs="David" w:eastAsia="David" w:hAnsi="David"/>
          <w:sz w:val="24"/>
          <w:szCs w:val="24"/>
          <w:rtl/>
        </w:rPr>
        <w:t xml:space="preserve">). חמשת הכאבים הללו הם הבסיס שממנו צומחת השאלה כיצד אדם מסתגל למקום שנועד לשלול ממנו כמעט הכול.</w:t>
      </w:r>
    </w:p>
    <w:p>
      <w:pPr>
        <w:bidi/>
        <w:spacing w:after="120" w:line="360"/>
        <w:ind w:firstLine="567"/>
        <w:jc w:val="both"/>
      </w:pPr>
      <w:r>
        <w:rPr>
          <w:rFonts w:ascii="David" w:cs="David" w:eastAsia="David" w:hAnsi="David"/>
          <w:sz w:val="24"/>
          <w:szCs w:val="24"/>
          <w:rtl/>
        </w:rPr>
        <w:t xml:space="preserve">הספרות המאוחרת עברה מתיאור כללי של המאסר לבחינה של הבדלים בין בתי סוהר ובין אסירים. ליבלינג ומרונה </w:t>
      </w:r>
      <w:r>
        <w:rPr>
          <w:rFonts w:ascii="Times New Roman" w:cs="Times New Roman" w:eastAsia="Times New Roman" w:hAnsi="Times New Roman"/>
          <w:sz w:val="24"/>
          <w:szCs w:val="24"/>
        </w:rPr>
        <w:t xml:space="preserve">(Liebling &amp; Maruna, 2005)</w:t>
      </w:r>
      <w:r>
        <w:rPr>
          <w:rFonts w:ascii="David" w:cs="David" w:eastAsia="David" w:hAnsi="David"/>
          <w:sz w:val="24"/>
          <w:szCs w:val="24"/>
          <w:rtl/>
        </w:rPr>
        <w:t xml:space="preserve"> הראו שהשפעות המאסר אינן אחידות: תקופת הקליטה היא הפגיעה ביותר, והמצוקה הנפשית מרוכזת בשבועות הראשונים. ליבלינג </w:t>
      </w:r>
      <w:r>
        <w:rPr>
          <w:rFonts w:ascii="Times New Roman" w:cs="Times New Roman" w:eastAsia="Times New Roman" w:hAnsi="Times New Roman"/>
          <w:sz w:val="24"/>
          <w:szCs w:val="24"/>
        </w:rPr>
        <w:t xml:space="preserve">(Liebling, 2004)</w:t>
      </w:r>
      <w:r>
        <w:rPr>
          <w:rFonts w:ascii="David" w:cs="David" w:eastAsia="David" w:hAnsi="David"/>
          <w:sz w:val="24"/>
          <w:szCs w:val="24"/>
          <w:rtl/>
        </w:rPr>
        <w:t xml:space="preserve"> הוסיפה מסגרת מושגית שקראה לה "הביצוע המוסרי" של בית הסוהר, שכולל כבוד, אנושיות, יחסים עם הסגל, הוגנות וביטחון, ומצאה שממדים אלו נבדלים בין מוסדות ומתואמים עם רמת המצוקה של האסירים. בהמשך לכך זיהו אוטי וליבלינג </w:t>
      </w:r>
      <w:r>
        <w:rPr>
          <w:rFonts w:ascii="Times New Roman" w:cs="Times New Roman" w:eastAsia="Times New Roman" w:hAnsi="Times New Roman"/>
          <w:sz w:val="24"/>
          <w:szCs w:val="24"/>
        </w:rPr>
        <w:t xml:space="preserve">(Auty &amp; Liebling, 2024)</w:t>
      </w:r>
      <w:r>
        <w:rPr>
          <w:rFonts w:ascii="David" w:cs="David" w:eastAsia="David" w:hAnsi="David"/>
          <w:sz w:val="24"/>
          <w:szCs w:val="24"/>
          <w:rtl/>
        </w:rPr>
        <w:t xml:space="preserve"> סף אמפירי: בבתי סוהר שבהם ציון היחסים בין סגל לאסירים נמוך מ</w:t>
      </w:r>
      <w:r>
        <w:rPr>
          <w:rFonts w:ascii="Times New Roman" w:cs="Times New Roman" w:eastAsia="Times New Roman" w:hAnsi="Times New Roman"/>
          <w:sz w:val="24"/>
          <w:szCs w:val="24"/>
        </w:rPr>
        <w:t xml:space="preserve">-3.05</w:t>
      </w:r>
      <w:r>
        <w:rPr>
          <w:rFonts w:ascii="David" w:cs="David" w:eastAsia="David" w:hAnsi="David"/>
          <w:sz w:val="24"/>
          <w:szCs w:val="24"/>
          <w:rtl/>
        </w:rPr>
        <w:t xml:space="preserve"> בסולם של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עד </w:t>
      </w:r>
      <w:r>
        <w:rPr>
          <w:rFonts w:ascii="Times New Roman" w:cs="Times New Roman" w:eastAsia="Times New Roman" w:hAnsi="Times New Roman"/>
          <w:sz w:val="24"/>
          <w:szCs w:val="24"/>
        </w:rPr>
        <w:t xml:space="preserve">5,</w:t>
      </w:r>
      <w:r>
        <w:rPr>
          <w:rFonts w:ascii="David" w:cs="David" w:eastAsia="David" w:hAnsi="David"/>
          <w:sz w:val="24"/>
          <w:szCs w:val="24"/>
          <w:rtl/>
        </w:rPr>
        <w:t xml:space="preserve"> שיעורי האלימות, הפגיעה העצמית והמוות נמצאו גבוהים באופן מובהק. בהולנד מצאו ון גינקן ואחרים </w:t>
      </w:r>
      <w:r>
        <w:rPr>
          <w:rFonts w:ascii="Times New Roman" w:cs="Times New Roman" w:eastAsia="Times New Roman" w:hAnsi="Times New Roman"/>
          <w:sz w:val="24"/>
          <w:szCs w:val="24"/>
        </w:rPr>
        <w:t xml:space="preserve">(Van Ginneken et al., 2019)</w:t>
      </w:r>
      <w:r>
        <w:rPr>
          <w:rFonts w:ascii="David" w:cs="David" w:eastAsia="David" w:hAnsi="David"/>
          <w:sz w:val="24"/>
          <w:szCs w:val="24"/>
          <w:rtl/>
        </w:rPr>
        <w:t xml:space="preserve">, באמצעות סקר "החיים במשמורת" שממנו נגזר גם השאלון הישראלי, שממדי האקלים של בית הסוהר, ובראשם היחסים עם הסגל, קשורים לרווחתם הנפשית של האסירים.</w:t>
      </w:r>
    </w:p>
    <w:p>
      <w:pPr>
        <w:bidi/>
        <w:spacing w:after="120" w:line="360"/>
        <w:ind w:firstLine="567"/>
        <w:jc w:val="both"/>
      </w:pPr>
      <w:r>
        <w:rPr>
          <w:rFonts w:ascii="David" w:cs="David" w:eastAsia="David" w:hAnsi="David"/>
          <w:sz w:val="24"/>
          <w:szCs w:val="24"/>
          <w:rtl/>
        </w:rPr>
        <w:t xml:space="preserve">הקשר בין יחס הסגל לרווחה נחקר גם במערכי אורך. בייארסברגן ואחרים </w:t>
      </w:r>
      <w:r>
        <w:rPr>
          <w:rFonts w:ascii="Times New Roman" w:cs="Times New Roman" w:eastAsia="Times New Roman" w:hAnsi="Times New Roman"/>
          <w:sz w:val="24"/>
          <w:szCs w:val="24"/>
        </w:rPr>
        <w:t xml:space="preserve">(Beijersbergen et al., 2014)</w:t>
      </w:r>
      <w:r>
        <w:rPr>
          <w:rFonts w:ascii="David" w:cs="David" w:eastAsia="David" w:hAnsi="David"/>
          <w:sz w:val="24"/>
          <w:szCs w:val="24"/>
          <w:rtl/>
        </w:rPr>
        <w:t xml:space="preserve"> ראיינו </w:t>
      </w:r>
      <w:r>
        <w:rPr>
          <w:rFonts w:ascii="Times New Roman" w:cs="Times New Roman" w:eastAsia="Times New Roman" w:hAnsi="Times New Roman"/>
          <w:sz w:val="24"/>
          <w:szCs w:val="24"/>
        </w:rPr>
        <w:t xml:space="preserve">824</w:t>
      </w:r>
      <w:r>
        <w:rPr>
          <w:rFonts w:ascii="David" w:cs="David" w:eastAsia="David" w:hAnsi="David"/>
          <w:sz w:val="24"/>
          <w:szCs w:val="24"/>
          <w:rtl/>
        </w:rPr>
        <w:t xml:space="preserve"> אסירים גברים שלושה שבועות ושלושה חודשים לאחר קליטתם, ומצאו שתפיסה של יחס הוגן מצד הסוהרים בזמן הראשון ניבאה פחות בעיות נפשיות בזמן השני. באוסטרליה הראו סרג'נט ואחרים </w:t>
      </w:r>
      <w:r>
        <w:rPr>
          <w:rFonts w:ascii="Times New Roman" w:cs="Times New Roman" w:eastAsia="Times New Roman" w:hAnsi="Times New Roman"/>
          <w:sz w:val="24"/>
          <w:szCs w:val="24"/>
        </w:rPr>
        <w:t xml:space="preserve">(Sargeant et al., 2026)</w:t>
      </w:r>
      <w:r>
        <w:rPr>
          <w:rFonts w:ascii="David" w:cs="David" w:eastAsia="David" w:hAnsi="David"/>
          <w:sz w:val="24"/>
          <w:szCs w:val="24"/>
          <w:rtl/>
        </w:rPr>
        <w:t xml:space="preserve"> שצדק פרוצדורלי קשור לרווחה נפשית גבוהה יותר לאורך זמן, ושהקשר עובר בחלקו דרך איכות היחסים עם הסגל, ואילו תחושת הביטחון בבית הסוהר לא ניבאה רווחה לאורך זמן. גם בבתי מעצר בארצות הברית נמצא שתפיסה גבוהה של צדק פרוצדורלי קשורה לפחות מחשבות אובדניות </w:t>
      </w:r>
      <w:r>
        <w:rPr>
          <w:rFonts w:ascii="Times New Roman" w:cs="Times New Roman" w:eastAsia="Times New Roman" w:hAnsi="Times New Roman"/>
          <w:sz w:val="24"/>
          <w:szCs w:val="24"/>
        </w:rPr>
        <w:t xml:space="preserve">(Abderhalden &amp; Alward, 2024)</w:t>
      </w:r>
      <w:r>
        <w:rPr>
          <w:rFonts w:ascii="David" w:cs="David" w:eastAsia="David" w:hAnsi="David"/>
          <w:sz w:val="24"/>
          <w:szCs w:val="24"/>
          <w:rtl/>
        </w:rPr>
        <w:t xml:space="preserve">. כיוון ההשפעה במחקרים אלו הוא מיחס הסגל אל הרווחה. המחקר הנוכחי בוחן את הכיוון ההפוך, הרווחה הנפשית כמנבאת של תפיסת הסגל, ומכיוון שהוא מתאמי, אין בו כדי להכריע בין השניים אלא לבחון אם הקשר קיים בישראל ומה עוצמתו.</w:t>
      </w:r>
    </w:p>
    <w:p>
      <w:pPr>
        <w:pStyle w:val="Heading2"/>
        <w:keepNext/>
        <w:bidi/>
        <w:spacing w:after="120" w:before="240" w:line="360"/>
        <w:jc w:val="right"/>
      </w:pPr>
      <w:r>
        <w:rPr>
          <w:rFonts w:ascii="David" w:cs="David" w:eastAsia="David" w:hAnsi="David"/>
          <w:b/>
          <w:bCs/>
          <w:sz w:val="28"/>
          <w:szCs w:val="28"/>
          <w:rtl/>
        </w:rPr>
        <w:t xml:space="preserve">לגיטימיות של סגל הכליאה</w:t>
      </w:r>
    </w:p>
    <w:p>
      <w:pPr>
        <w:bidi/>
        <w:spacing w:after="120" w:line="360"/>
        <w:ind w:firstLine="567"/>
        <w:jc w:val="both"/>
      </w:pPr>
      <w:r>
        <w:rPr>
          <w:rFonts w:ascii="David" w:cs="David" w:eastAsia="David" w:hAnsi="David"/>
          <w:sz w:val="24"/>
          <w:szCs w:val="24"/>
          <w:rtl/>
        </w:rPr>
        <w:t xml:space="preserve">המודל המבוסס-תהליך של טיילר </w:t>
      </w:r>
      <w:r>
        <w:rPr>
          <w:rFonts w:ascii="Times New Roman" w:cs="Times New Roman" w:eastAsia="Times New Roman" w:hAnsi="Times New Roman"/>
          <w:sz w:val="24"/>
          <w:szCs w:val="24"/>
        </w:rPr>
        <w:t xml:space="preserve">(Tyler, 1990)</w:t>
      </w:r>
      <w:r>
        <w:rPr>
          <w:rFonts w:ascii="David" w:cs="David" w:eastAsia="David" w:hAnsi="David"/>
          <w:sz w:val="24"/>
          <w:szCs w:val="24"/>
          <w:rtl/>
        </w:rPr>
        <w:t xml:space="preserve"> הוא הבסיס התאורטי של רוב מחקרי הלגיטימיות בכליאה. טיילר הראה, בתחילה ביחס למשטרה ולבתי המשפט, שאנשים מצייתים לחוק בעיקר משום שהם תופסים את הרשות כלגיטימית, ושהלגיטימיות נבנית דרך צדק פרוצדורלי: מתן קול, ניטרליות בקבלת החלטות, יחס מכבד ותחושה שהרשות פועלת בתום לב. ספרקס ובוטומס </w:t>
      </w:r>
      <w:r>
        <w:rPr>
          <w:rFonts w:ascii="Times New Roman" w:cs="Times New Roman" w:eastAsia="Times New Roman" w:hAnsi="Times New Roman"/>
          <w:sz w:val="24"/>
          <w:szCs w:val="24"/>
        </w:rPr>
        <w:t xml:space="preserve">(Sparks &amp; Bottoms, 1995)</w:t>
      </w:r>
      <w:r>
        <w:rPr>
          <w:rFonts w:ascii="David" w:cs="David" w:eastAsia="David" w:hAnsi="David"/>
          <w:sz w:val="24"/>
          <w:szCs w:val="24"/>
          <w:rtl/>
        </w:rPr>
        <w:t xml:space="preserve"> העבירו את המודל אל בית הסוהר וטענו שדווקא במקום שבו פערי הכוח קיצוניים, האופן שבו הסמכות מופעלת קובע אם היא תזכה לציות נורמטיבי או רק לציות אינסטרומנטלי מפחד.</w:t>
      </w:r>
    </w:p>
    <w:p>
      <w:pPr>
        <w:bidi/>
        <w:spacing w:after="120" w:line="360"/>
        <w:ind w:firstLine="567"/>
        <w:jc w:val="both"/>
      </w:pPr>
      <w:r>
        <w:rPr>
          <w:rFonts w:ascii="David" w:cs="David" w:eastAsia="David" w:hAnsi="David"/>
          <w:sz w:val="24"/>
          <w:szCs w:val="24"/>
          <w:rtl/>
        </w:rPr>
        <w:t xml:space="preserve">הממצא האמפירי הרחב ביותר בתחום מגיע מאנגליה ומוויילס. ברנטון-סמית ומקארתי </w:t>
      </w:r>
      <w:r>
        <w:rPr>
          <w:rFonts w:ascii="Times New Roman" w:cs="Times New Roman" w:eastAsia="Times New Roman" w:hAnsi="Times New Roman"/>
          <w:sz w:val="24"/>
          <w:szCs w:val="24"/>
        </w:rPr>
        <w:t xml:space="preserve">(Brunton-Smith &amp; McCarthy, 2016)</w:t>
      </w:r>
      <w:r>
        <w:rPr>
          <w:rFonts w:ascii="David" w:cs="David" w:eastAsia="David" w:hAnsi="David"/>
          <w:sz w:val="24"/>
          <w:szCs w:val="24"/>
          <w:rtl/>
        </w:rPr>
        <w:t xml:space="preserve"> ניתחו סקר של יותר מ</w:t>
      </w:r>
      <w:r>
        <w:rPr>
          <w:rFonts w:ascii="Times New Roman" w:cs="Times New Roman" w:eastAsia="Times New Roman" w:hAnsi="Times New Roman"/>
          <w:sz w:val="24"/>
          <w:szCs w:val="24"/>
        </w:rPr>
        <w:t xml:space="preserve">-3,000</w:t>
      </w:r>
      <w:r>
        <w:rPr>
          <w:rFonts w:ascii="David" w:cs="David" w:eastAsia="David" w:hAnsi="David"/>
          <w:sz w:val="24"/>
          <w:szCs w:val="24"/>
          <w:rtl/>
        </w:rPr>
        <w:t xml:space="preserve"> אסירים בניתוח רב-רמות ומצאו שההוגנות הפרוצדורלית היא המנבא החזק ביותר של לגיטימיות, ושקיימת שונות בלגיטימיות לפי מאפייני האסיר, לפי תנאי המחיה ובין בתי סוהר. בהולנד חיברו בייארסברגן ואחרים </w:t>
      </w:r>
      <w:r>
        <w:rPr>
          <w:rFonts w:ascii="Times New Roman" w:cs="Times New Roman" w:eastAsia="Times New Roman" w:hAnsi="Times New Roman"/>
          <w:sz w:val="24"/>
          <w:szCs w:val="24"/>
        </w:rPr>
        <w:t xml:space="preserve">(Beijersbergen et al., 2015)</w:t>
      </w:r>
      <w:r>
        <w:rPr>
          <w:rFonts w:ascii="David" w:cs="David" w:eastAsia="David" w:hAnsi="David"/>
          <w:sz w:val="24"/>
          <w:szCs w:val="24"/>
          <w:rtl/>
        </w:rPr>
        <w:t xml:space="preserve"> נתוני </w:t>
      </w:r>
      <w:r>
        <w:rPr>
          <w:rFonts w:ascii="Times New Roman" w:cs="Times New Roman" w:eastAsia="Times New Roman" w:hAnsi="Times New Roman"/>
          <w:sz w:val="24"/>
          <w:szCs w:val="24"/>
        </w:rPr>
        <w:t xml:space="preserve">1,610</w:t>
      </w:r>
      <w:r>
        <w:rPr>
          <w:rFonts w:ascii="David" w:cs="David" w:eastAsia="David" w:hAnsi="David"/>
          <w:sz w:val="24"/>
          <w:szCs w:val="24"/>
          <w:rtl/>
        </w:rPr>
        <w:t xml:space="preserve"> אסירים לנתוני </w:t>
      </w:r>
      <w:r>
        <w:rPr>
          <w:rFonts w:ascii="Times New Roman" w:cs="Times New Roman" w:eastAsia="Times New Roman" w:hAnsi="Times New Roman"/>
          <w:sz w:val="24"/>
          <w:szCs w:val="24"/>
        </w:rPr>
        <w:t xml:space="preserve">690</w:t>
      </w:r>
      <w:r>
        <w:rPr>
          <w:rFonts w:ascii="David" w:cs="David" w:eastAsia="David" w:hAnsi="David"/>
          <w:sz w:val="24"/>
          <w:szCs w:val="24"/>
          <w:rtl/>
        </w:rPr>
        <w:t xml:space="preserve"> אנשי סגל, והראו שמאפייני הסגל ביחידה קשורים לתפיסת הצדק הפרוצדורלי של האסירים מעבר למאפייני האסירים עצמם. בסלובניה, האצין ומשקו </w:t>
      </w:r>
      <w:r>
        <w:rPr>
          <w:rFonts w:ascii="Times New Roman" w:cs="Times New Roman" w:eastAsia="Times New Roman" w:hAnsi="Times New Roman"/>
          <w:sz w:val="24"/>
          <w:szCs w:val="24"/>
        </w:rPr>
        <w:t xml:space="preserve">(Hacin &amp; Meško, 2018)</w:t>
      </w:r>
      <w:r>
        <w:rPr>
          <w:rFonts w:ascii="David" w:cs="David" w:eastAsia="David" w:hAnsi="David"/>
          <w:sz w:val="24"/>
          <w:szCs w:val="24"/>
          <w:rtl/>
        </w:rPr>
        <w:t xml:space="preserve"> ערכו ראיונות מובנים עם </w:t>
      </w:r>
      <w:r>
        <w:rPr>
          <w:rFonts w:ascii="Times New Roman" w:cs="Times New Roman" w:eastAsia="Times New Roman" w:hAnsi="Times New Roman"/>
          <w:sz w:val="24"/>
          <w:szCs w:val="24"/>
        </w:rPr>
        <w:t xml:space="preserve">193</w:t>
      </w:r>
      <w:r>
        <w:rPr>
          <w:rFonts w:ascii="David" w:cs="David" w:eastAsia="David" w:hAnsi="David"/>
          <w:sz w:val="24"/>
          <w:szCs w:val="24"/>
          <w:rtl/>
        </w:rPr>
        <w:t xml:space="preserve"> אסירים ומצאו שיותר ממחצית המרואיינים לא נתנו אמון בסגל, ושחלק ניכר מהציות שתיארו נבע מפחד מסנקציות ולא מהכרה בלגיטימיות.</w:t>
      </w:r>
    </w:p>
    <w:p>
      <w:pPr>
        <w:bidi/>
        <w:spacing w:after="120" w:line="360"/>
        <w:ind w:firstLine="567"/>
        <w:jc w:val="both"/>
      </w:pPr>
      <w:r>
        <w:rPr>
          <w:rFonts w:ascii="David" w:cs="David" w:eastAsia="David" w:hAnsi="David"/>
          <w:sz w:val="24"/>
          <w:szCs w:val="24"/>
          <w:rtl/>
        </w:rPr>
        <w:t xml:space="preserve">שני ממצאים נוספים חשובים למחקר הנוכחי. פרנקה ואחרים </w:t>
      </w:r>
      <w:r>
        <w:rPr>
          <w:rFonts w:ascii="Times New Roman" w:cs="Times New Roman" w:eastAsia="Times New Roman" w:hAnsi="Times New Roman"/>
          <w:sz w:val="24"/>
          <w:szCs w:val="24"/>
        </w:rPr>
        <w:t xml:space="preserve">(Franke et al., 2010)</w:t>
      </w:r>
      <w:r>
        <w:rPr>
          <w:rFonts w:ascii="David" w:cs="David" w:eastAsia="David" w:hAnsi="David"/>
          <w:sz w:val="24"/>
          <w:szCs w:val="24"/>
          <w:rtl/>
        </w:rPr>
        <w:t xml:space="preserve"> הראו בניסוי אקראי שתפיסת הלגיטימיות משתנה במהלך המאסר: בית הסוהר הרגיל פגע בה, ומה שהסביר את הפגיעה היה ריבוי חוויות שליליות ודלות סביבתית. מכאן שהזמן שאדם שוהה במוסד אינו ניטרלי, ושהמרכיבים המעצבים את הרווחה הנפשית הם גם המרכיבים המעצבים את הלגיטימיות. ון הול ואחרים </w:t>
      </w:r>
      <w:r>
        <w:rPr>
          <w:rFonts w:ascii="Times New Roman" w:cs="Times New Roman" w:eastAsia="Times New Roman" w:hAnsi="Times New Roman"/>
          <w:sz w:val="24"/>
          <w:szCs w:val="24"/>
        </w:rPr>
        <w:t xml:space="preserve">(van Hall et al., 2025)</w:t>
      </w:r>
      <w:r>
        <w:rPr>
          <w:rFonts w:ascii="David" w:cs="David" w:eastAsia="David" w:hAnsi="David"/>
          <w:sz w:val="24"/>
          <w:szCs w:val="24"/>
          <w:rtl/>
        </w:rPr>
        <w:t xml:space="preserve"> הוסיפו שהלגיטימיות שנבנית בבית הסוהר "נשפכת" החוצה: אסירים שחשו שהסגל נהג בהם בהוגנות תפסו גם את קצין המבחן שלהם כהוגן יותר, וסיכוייהם להיות מורשעים שוב בתוך שנה היו נמוכים יותר. סקירת ההיקף של ראיין וברגין </w:t>
      </w:r>
      <w:r>
        <w:rPr>
          <w:rFonts w:ascii="Times New Roman" w:cs="Times New Roman" w:eastAsia="Times New Roman" w:hAnsi="Times New Roman"/>
          <w:sz w:val="24"/>
          <w:szCs w:val="24"/>
        </w:rPr>
        <w:t xml:space="preserve">(Ryan &amp; Bergin, 2022)</w:t>
      </w:r>
      <w:r>
        <w:rPr>
          <w:rFonts w:ascii="David" w:cs="David" w:eastAsia="David" w:hAnsi="David"/>
          <w:sz w:val="24"/>
          <w:szCs w:val="24"/>
          <w:rtl/>
        </w:rPr>
        <w:t xml:space="preserve"> סיכמה את הספרות סביב שני צירים, מה מעצב את הלגיטימיות וכיצד היא קשורה לציות, והצביעה על כך שרוב המחקרים נערכו במדינות מערביות מעטות.</w:t>
      </w:r>
    </w:p>
    <w:p>
      <w:pPr>
        <w:bidi/>
        <w:spacing w:after="120" w:line="360"/>
        <w:ind w:firstLine="567"/>
        <w:jc w:val="both"/>
      </w:pPr>
      <w:r>
        <w:rPr>
          <w:rFonts w:ascii="David" w:cs="David" w:eastAsia="David" w:hAnsi="David"/>
          <w:sz w:val="24"/>
          <w:szCs w:val="24"/>
          <w:rtl/>
        </w:rPr>
        <w:t xml:space="preserve">בישראל, המחקר של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הוא הראשון שבחן לגיטימיות בקרב כלואים פליליים בהיקף רחב. הוא מצא ממוצע לגיטימיות גבוה יחסית (</w:t>
      </w:r>
      <w:r>
        <w:rPr>
          <w:rFonts w:ascii="Times New Roman" w:cs="Times New Roman" w:eastAsia="Times New Roman" w:hAnsi="Times New Roman"/>
          <w:sz w:val="24"/>
          <w:szCs w:val="24"/>
        </w:rPr>
        <w:t xml:space="preserve">4.23</w:t>
      </w:r>
      <w:r>
        <w:rPr>
          <w:rFonts w:ascii="David" w:cs="David" w:eastAsia="David" w:hAnsi="David"/>
          <w:sz w:val="24"/>
          <w:szCs w:val="24"/>
          <w:rtl/>
        </w:rPr>
        <w:t xml:space="preserve"> בסולם של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עד </w:t>
      </w:r>
      <w:r>
        <w:rPr>
          <w:rFonts w:ascii="Times New Roman" w:cs="Times New Roman" w:eastAsia="Times New Roman" w:hAnsi="Times New Roman"/>
          <w:sz w:val="24"/>
          <w:szCs w:val="24"/>
        </w:rPr>
        <w:t xml:space="preserve">5</w:t>
      </w:r>
      <w:r>
        <w:rPr>
          <w:rFonts w:ascii="David" w:cs="David" w:eastAsia="David" w:hAnsi="David"/>
          <w:sz w:val="24"/>
          <w:szCs w:val="24"/>
          <w:rtl/>
        </w:rPr>
        <w:t xml:space="preserve">), ללא הבדל בין יהודים ללא יהודים ובין גברים לנשים, אך עם לגיטימיות גבוהה יותר בקרב שפוטים לעומת עצורים. הלגיטימיות נמצאה כמשתנה הממתן את הקשר בין תנאי המחיה לשביעות הרצון מפעילויות השיקום: ככל שהלגיטימיות גבוהה יותר, הקשר חזק יותר. המחבר הציע לראות בלגיטימיות כלי ניהולי באגף הפלילי, אך לא בחן את הקשר הישיר בינה לבין הרווחה הנפשית ולא את הקשר לוותק באגף. לאור המחקרים שהוזכרו, שאלת המחקר המרכזית של העבודה הנוכחית היא באיזו מידה קיים קשר בין רווחה נפשית לבין תפיסת הלגיטימיות של סגל הכליאה בקרב אסירים שפוטים, ולצדה נבחן הקשר בין ותק באגף ללגיטימיות.</w:t>
      </w:r>
    </w:p>
    <w:p>
      <w:pPr>
        <w:pStyle w:val="Heading1"/>
        <w:pageBreakBefore/>
        <w:bidi/>
        <w:spacing w:after="240" w:before="0" w:line="360"/>
        <w:jc w:val="right"/>
      </w:pPr>
      <w:r>
        <w:rPr>
          <w:rFonts w:ascii="David" w:cs="David" w:eastAsia="David" w:hAnsi="David"/>
          <w:b/>
          <w:bCs/>
          <w:sz w:val="32"/>
          <w:szCs w:val="32"/>
          <w:rtl/>
        </w:rPr>
        <w:t xml:space="preserve">שאלות המחקר והשערות</w:t>
      </w:r>
    </w:p>
    <w:p>
      <w:pPr>
        <w:bidi/>
        <w:spacing w:after="120" w:line="360"/>
        <w:jc w:val="both"/>
      </w:pPr>
      <w:r>
        <w:rPr>
          <w:rFonts w:ascii="David" w:cs="David" w:eastAsia="David" w:hAnsi="David"/>
          <w:sz w:val="24"/>
          <w:szCs w:val="24"/>
          <w:rtl/>
        </w:rPr>
        <w:t xml:space="preserve">שאלת המחקר הראשונה: באיזו מידה קיים קשר בין רווחה נפשית לבין תפיסת הלגיטימיות של סגל הכליאה בקרב אסירים שפוטים?</w:t>
      </w:r>
    </w:p>
    <w:p>
      <w:pPr>
        <w:bidi/>
        <w:spacing w:after="120" w:line="360"/>
        <w:jc w:val="both"/>
      </w:pPr>
      <w:r>
        <w:rPr>
          <w:rFonts w:ascii="David" w:cs="David" w:eastAsia="David" w:hAnsi="David"/>
          <w:sz w:val="24"/>
          <w:szCs w:val="24"/>
          <w:rtl/>
        </w:rPr>
        <w:t xml:space="preserve">שאלת המחקר השנייה: באיזו מידה קיים קשר בין ותק באגף לבין תפיסת הלגיטימיות של סגל הכליאה בקרב אסירים שפוטים?</w:t>
      </w:r>
    </w:p>
    <w:p>
      <w:pPr>
        <w:bidi/>
        <w:spacing w:after="120" w:line="360"/>
        <w:jc w:val="both"/>
      </w:pPr>
      <w:r>
        <w:rPr>
          <w:rFonts w:ascii="David" w:cs="David" w:eastAsia="David" w:hAnsi="David"/>
          <w:sz w:val="24"/>
          <w:szCs w:val="24"/>
          <w:rtl/>
        </w:rPr>
        <w:t xml:space="preserve">משתנה תלוי: תפיסת הלגיטימיות של סגל הכליאה. משתנים בלתי תלויים: רווחה נפשית וותק באגף. משתני רקע: גיל, לאום (יהודים ולא יהודים) ומספר מאסרים.</w:t>
      </w:r>
    </w:p>
    <w:p>
      <w:pPr>
        <w:bidi/>
        <w:spacing w:after="120" w:line="360"/>
        <w:jc w:val="both"/>
      </w:pPr>
      <w:r>
        <w:rPr>
          <w:rFonts w:ascii="David" w:cs="David" w:eastAsia="David" w:hAnsi="David"/>
          <w:sz w:val="24"/>
          <w:szCs w:val="24"/>
          <w:rtl/>
        </w:rPr>
        <w:t xml:space="preserve">השערה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יימצא קשר חיובי מובהק בין רווחה נפשית לבין תפיסת הלגיטימיות של הסגל, כך שככל שהרווחה הנפשית גבוהה יותר, הלגיטימיות המיוחסת לסגל גבוהה יותר. ההשערה נשענת על הקשר שנמצא בין יחס הסגל למצוקה נפשית </w:t>
      </w:r>
      <w:r>
        <w:rPr>
          <w:rFonts w:ascii="Times New Roman" w:cs="Times New Roman" w:eastAsia="Times New Roman" w:hAnsi="Times New Roman"/>
          <w:sz w:val="24"/>
          <w:szCs w:val="24"/>
        </w:rPr>
        <w:t xml:space="preserve">(Beijersbergen et al., 2014; Sargeant et al., 2026)</w:t>
      </w:r>
      <w:r>
        <w:rPr>
          <w:rFonts w:ascii="David" w:cs="David" w:eastAsia="David" w:hAnsi="David"/>
          <w:sz w:val="24"/>
          <w:szCs w:val="24"/>
          <w:rtl/>
        </w:rPr>
        <w:t xml:space="preserve"> ועל הקשר בין דלות סביבתית לירידה בלגיטימיות </w:t>
      </w:r>
      <w:r>
        <w:rPr>
          <w:rFonts w:ascii="Times New Roman" w:cs="Times New Roman" w:eastAsia="Times New Roman" w:hAnsi="Times New Roman"/>
          <w:sz w:val="24"/>
          <w:szCs w:val="24"/>
        </w:rPr>
        <w:t xml:space="preserve">(Franke et al., 2010)</w:t>
      </w:r>
      <w:r>
        <w:rPr>
          <w:rFonts w:ascii="David" w:cs="David" w:eastAsia="David" w:hAnsi="David"/>
          <w:sz w:val="24"/>
          <w:szCs w:val="24"/>
          <w:rtl/>
        </w:rPr>
        <w:t xml:space="preserve">.</w:t>
      </w:r>
    </w:p>
    <w:p>
      <w:pPr>
        <w:bidi/>
        <w:spacing w:after="120" w:line="360"/>
        <w:jc w:val="both"/>
      </w:pPr>
      <w:r>
        <w:rPr>
          <w:rFonts w:ascii="David" w:cs="David" w:eastAsia="David" w:hAnsi="David"/>
          <w:sz w:val="24"/>
          <w:szCs w:val="24"/>
          <w:rtl/>
        </w:rPr>
        <w:t xml:space="preserve">השערה </w:t>
      </w:r>
      <w:r>
        <w:rPr>
          <w:rFonts w:ascii="Times New Roman" w:cs="Times New Roman" w:eastAsia="Times New Roman" w:hAnsi="Times New Roman"/>
          <w:sz w:val="24"/>
          <w:szCs w:val="24"/>
        </w:rPr>
        <w:t xml:space="preserve">2</w:t>
      </w:r>
      <w:r>
        <w:rPr>
          <w:rFonts w:ascii="David" w:cs="David" w:eastAsia="David" w:hAnsi="David"/>
          <w:sz w:val="24"/>
          <w:szCs w:val="24"/>
          <w:rtl/>
        </w:rPr>
        <w:t xml:space="preserve">: הרווחה הנפשית תתרום תרומה מובהקת להסבר השונות בלגיטימיות גם לאחר פיקוח על גיל ולאום. ההשערה נשענת על השונות בלגיטימיות לפי מאפייני האסיר שדווחה אצל ברנטון-סמית ומקארתי </w:t>
      </w:r>
      <w:r>
        <w:rPr>
          <w:rFonts w:ascii="Times New Roman" w:cs="Times New Roman" w:eastAsia="Times New Roman" w:hAnsi="Times New Roman"/>
          <w:sz w:val="24"/>
          <w:szCs w:val="24"/>
        </w:rPr>
        <w:t xml:space="preserve">(Brunton-Smith &amp; McCarthy, 2016)</w:t>
      </w:r>
      <w:r>
        <w:rPr>
          <w:rFonts w:ascii="David" w:cs="David" w:eastAsia="David" w:hAnsi="David"/>
          <w:sz w:val="24"/>
          <w:szCs w:val="24"/>
          <w:rtl/>
        </w:rPr>
        <w:t xml:space="preserve">.</w:t>
      </w:r>
    </w:p>
    <w:p>
      <w:pPr>
        <w:bidi/>
        <w:spacing w:after="120" w:line="360"/>
        <w:jc w:val="both"/>
      </w:pPr>
      <w:r>
        <w:rPr>
          <w:rFonts w:ascii="David" w:cs="David" w:eastAsia="David" w:hAnsi="David"/>
          <w:sz w:val="24"/>
          <w:szCs w:val="24"/>
          <w:rtl/>
        </w:rPr>
        <w:t xml:space="preserve">השערה </w:t>
      </w:r>
      <w:r>
        <w:rPr>
          <w:rFonts w:ascii="Times New Roman" w:cs="Times New Roman" w:eastAsia="Times New Roman" w:hAnsi="Times New Roman"/>
          <w:sz w:val="24"/>
          <w:szCs w:val="24"/>
        </w:rPr>
        <w:t xml:space="preserve">3</w:t>
      </w:r>
      <w:r>
        <w:rPr>
          <w:rFonts w:ascii="David" w:cs="David" w:eastAsia="David" w:hAnsi="David"/>
          <w:sz w:val="24"/>
          <w:szCs w:val="24"/>
          <w:rtl/>
        </w:rPr>
        <w:t xml:space="preserve">: תפיסת הלגיטימיות תהיה נמוכה יותר ככל שהוותק באגף ארוך יותר. ההשערה נשענת על ממצאיהם של פרנקה ואחרים </w:t>
      </w:r>
      <w:r>
        <w:rPr>
          <w:rFonts w:ascii="Times New Roman" w:cs="Times New Roman" w:eastAsia="Times New Roman" w:hAnsi="Times New Roman"/>
          <w:sz w:val="24"/>
          <w:szCs w:val="24"/>
        </w:rPr>
        <w:t xml:space="preserve">(Franke et al., 2010)</w:t>
      </w:r>
      <w:r>
        <w:rPr>
          <w:rFonts w:ascii="David" w:cs="David" w:eastAsia="David" w:hAnsi="David"/>
          <w:sz w:val="24"/>
          <w:szCs w:val="24"/>
          <w:rtl/>
        </w:rPr>
        <w:t xml:space="preserve">, שלפיהם השהות בבית סוהר רגיל פוגעת בלגיטימיות לאורך זמן.</w:t>
      </w:r>
    </w:p>
    <w:p>
      <w:pPr>
        <w:pStyle w:val="Heading1"/>
        <w:pageBreakBefore/>
        <w:bidi/>
        <w:spacing w:after="240" w:before="0" w:line="360"/>
        <w:jc w:val="right"/>
      </w:pPr>
      <w:r>
        <w:rPr>
          <w:rFonts w:ascii="David" w:cs="David" w:eastAsia="David" w:hAnsi="David"/>
          <w:b/>
          <w:bCs/>
          <w:sz w:val="32"/>
          <w:szCs w:val="32"/>
          <w:rtl/>
        </w:rPr>
        <w:t xml:space="preserve">שיטת המחקר</w:t>
      </w:r>
    </w:p>
    <w:p>
      <w:pPr>
        <w:bidi/>
        <w:spacing w:after="120" w:line="360"/>
        <w:ind w:firstLine="567"/>
        <w:jc w:val="both"/>
      </w:pPr>
      <w:r>
        <w:rPr>
          <w:rFonts w:ascii="David" w:cs="David" w:eastAsia="David" w:hAnsi="David"/>
          <w:sz w:val="24"/>
          <w:szCs w:val="24"/>
          <w:rtl/>
        </w:rPr>
        <w:t xml:space="preserve">המחקר הוא מחקר כמותי מתאמי במערך חתך, המבוסס על ניתוח משני של נתונים סינתטיים. נתונים סינתטיים נוצרים על ידי מודל סטטיסטי שלמד את ההתפלגויות, את דפוסי אי-ההשבה, את מהימנויות הסולמות ואת הקשרים בין המשתנים בקובץ המקורי, ומייצר משיבים חדשים שאף אחד מהם אינו אסיר אמיתי. השיטה נדרשת משום שסקרי אסירים מכילים מידע רגיש שאינו ניתן למסירה לחוקרים חיצוניים. ניתוח של קובץ כזה צפוי להתנהג כמו ניתוח של הסקר האמיתי, אך אומדנים מדויקים וערכי </w:t>
      </w:r>
      <w:r>
        <w:rPr>
          <w:rFonts w:ascii="Times New Roman" w:cs="Times New Roman" w:eastAsia="Times New Roman" w:hAnsi="Times New Roman"/>
          <w:sz w:val="24"/>
          <w:szCs w:val="24"/>
        </w:rPr>
        <w:t xml:space="preserve">p</w:t>
      </w:r>
      <w:r>
        <w:rPr>
          <w:rFonts w:ascii="David" w:cs="David" w:eastAsia="David" w:hAnsi="David"/>
          <w:sz w:val="24"/>
          <w:szCs w:val="24"/>
          <w:rtl/>
        </w:rPr>
        <w:t xml:space="preserve"> מושפעים מרעש הסינתזה, ולכן כל תוצאה בעבודה זו היא תכונה של הקובץ הסינתטי ולא ממצא על אסירים אמיתיים (ועקנין,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 הקובץ המקורי הוא סקר תנאי המחיה שנערך באגפים הפליליים של שירות בתי הסוהר בין </w:t>
      </w:r>
      <w:r>
        <w:rPr>
          <w:rFonts w:ascii="Times New Roman" w:cs="Times New Roman" w:eastAsia="Times New Roman" w:hAnsi="Times New Roman"/>
          <w:sz w:val="24"/>
          <w:szCs w:val="24"/>
        </w:rPr>
        <w:t xml:space="preserve">17</w:t>
      </w:r>
      <w:r>
        <w:rPr>
          <w:rFonts w:ascii="David" w:cs="David" w:eastAsia="David" w:hAnsi="David"/>
          <w:sz w:val="24"/>
          <w:szCs w:val="24"/>
          <w:rtl/>
        </w:rPr>
        <w:t xml:space="preserve"> באוקטובר ל</w:t>
      </w:r>
      <w:r>
        <w:rPr>
          <w:rFonts w:ascii="Times New Roman" w:cs="Times New Roman" w:eastAsia="Times New Roman" w:hAnsi="Times New Roman"/>
          <w:sz w:val="24"/>
          <w:szCs w:val="24"/>
        </w:rPr>
        <w:t xml:space="preserve">-24</w:t>
      </w:r>
      <w:r>
        <w:rPr>
          <w:rFonts w:ascii="David" w:cs="David" w:eastAsia="David" w:hAnsi="David"/>
          <w:sz w:val="24"/>
          <w:szCs w:val="24"/>
          <w:rtl/>
        </w:rPr>
        <w:t xml:space="preserve"> בנובמבר </w:t>
      </w:r>
      <w:r>
        <w:rPr>
          <w:rFonts w:ascii="Times New Roman" w:cs="Times New Roman" w:eastAsia="Times New Roman" w:hAnsi="Times New Roman"/>
          <w:sz w:val="24"/>
          <w:szCs w:val="24"/>
        </w:rPr>
        <w:t xml:space="preserve">2021</w:t>
      </w:r>
      <w:r>
        <w:rPr>
          <w:rFonts w:ascii="David" w:cs="David" w:eastAsia="David" w:hAnsi="David"/>
          <w:sz w:val="24"/>
          <w:szCs w:val="24"/>
          <w:rtl/>
        </w:rPr>
        <w:t xml:space="preserve">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w:t>
      </w:r>
    </w:p>
    <w:p>
      <w:pPr>
        <w:pStyle w:val="Heading2"/>
        <w:keepNext/>
        <w:bidi/>
        <w:spacing w:after="120" w:before="240" w:line="360"/>
        <w:jc w:val="right"/>
      </w:pPr>
      <w:r>
        <w:rPr>
          <w:rFonts w:ascii="David" w:cs="David" w:eastAsia="David" w:hAnsi="David"/>
          <w:b/>
          <w:bCs/>
          <w:sz w:val="28"/>
          <w:szCs w:val="28"/>
          <w:rtl/>
        </w:rPr>
        <w:t xml:space="preserve">אוכלוסיית המחקר</w:t>
      </w:r>
    </w:p>
    <w:p>
      <w:pPr>
        <w:bidi/>
        <w:spacing w:after="120" w:line="360"/>
        <w:ind w:firstLine="567"/>
        <w:jc w:val="both"/>
      </w:pPr>
      <w:r>
        <w:rPr>
          <w:rFonts w:ascii="David" w:cs="David" w:eastAsia="David" w:hAnsi="David"/>
          <w:sz w:val="24"/>
          <w:szCs w:val="24"/>
          <w:rtl/>
        </w:rPr>
        <w:t xml:space="preserve">בסקר המקורי השתתפו </w:t>
      </w:r>
      <w:r>
        <w:rPr>
          <w:rFonts w:ascii="Times New Roman" w:cs="Times New Roman" w:eastAsia="Times New Roman" w:hAnsi="Times New Roman"/>
          <w:sz w:val="24"/>
          <w:szCs w:val="24"/>
        </w:rPr>
        <w:t xml:space="preserve">3,790</w:t>
      </w:r>
      <w:r>
        <w:rPr>
          <w:rFonts w:ascii="David" w:cs="David" w:eastAsia="David" w:hAnsi="David"/>
          <w:sz w:val="24"/>
          <w:szCs w:val="24"/>
          <w:rtl/>
        </w:rPr>
        <w:t xml:space="preserve"> כלואים פליליים בגירים, </w:t>
      </w:r>
      <w:r>
        <w:rPr>
          <w:rFonts w:ascii="Times New Roman" w:cs="Times New Roman" w:eastAsia="Times New Roman" w:hAnsi="Times New Roman"/>
          <w:sz w:val="24"/>
          <w:szCs w:val="24"/>
        </w:rPr>
        <w:t xml:space="preserve">2,363</w:t>
      </w:r>
      <w:r>
        <w:rPr>
          <w:rFonts w:ascii="David" w:cs="David" w:eastAsia="David" w:hAnsi="David"/>
          <w:sz w:val="24"/>
          <w:szCs w:val="24"/>
          <w:rtl/>
        </w:rPr>
        <w:t xml:space="preserve"> שפוטים ו</w:t>
      </w:r>
      <w:r>
        <w:rPr>
          <w:rFonts w:ascii="Times New Roman" w:cs="Times New Roman" w:eastAsia="Times New Roman" w:hAnsi="Times New Roman"/>
          <w:sz w:val="24"/>
          <w:szCs w:val="24"/>
        </w:rPr>
        <w:t xml:space="preserve">-1,427</w:t>
      </w:r>
      <w:r>
        <w:rPr>
          <w:rFonts w:ascii="David" w:cs="David" w:eastAsia="David" w:hAnsi="David"/>
          <w:sz w:val="24"/>
          <w:szCs w:val="24"/>
          <w:rtl/>
        </w:rPr>
        <w:t xml:space="preserve"> עצורים, שהם </w:t>
      </w:r>
      <w:r>
        <w:rPr>
          <w:rFonts w:ascii="Times New Roman" w:cs="Times New Roman" w:eastAsia="Times New Roman" w:hAnsi="Times New Roman"/>
          <w:sz w:val="24"/>
          <w:szCs w:val="24"/>
        </w:rPr>
        <w:t xml:space="preserve">41</w:t>
      </w:r>
      <w:r>
        <w:rPr>
          <w:rFonts w:ascii="David" w:cs="David" w:eastAsia="David" w:hAnsi="David"/>
          <w:sz w:val="24"/>
          <w:szCs w:val="24"/>
          <w:rtl/>
        </w:rPr>
        <w:t xml:space="preserve"> אחוזים מכל הכלואים שהיו במצבת האסירים הפעילה באותה עת. השאלונים הועברו על ידי </w:t>
      </w:r>
      <w:r>
        <w:rPr>
          <w:rFonts w:ascii="Times New Roman" w:cs="Times New Roman" w:eastAsia="Times New Roman" w:hAnsi="Times New Roman"/>
          <w:sz w:val="24"/>
          <w:szCs w:val="24"/>
        </w:rPr>
        <w:t xml:space="preserve">196</w:t>
      </w:r>
      <w:r>
        <w:rPr>
          <w:rFonts w:ascii="David" w:cs="David" w:eastAsia="David" w:hAnsi="David"/>
          <w:sz w:val="24"/>
          <w:szCs w:val="24"/>
          <w:rtl/>
        </w:rPr>
        <w:t xml:space="preserve"> מנהלי אגפים וקציני חינוך, ההשתתפות הייתה אנונימית ורצונית, והמחקר אושר על ידי ועדת האתיקה של שירות בתי הסוהר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הקובץ הסינתטי כולל </w:t>
      </w:r>
      <w:r>
        <w:rPr>
          <w:rFonts w:ascii="Times New Roman" w:cs="Times New Roman" w:eastAsia="Times New Roman" w:hAnsi="Times New Roman"/>
          <w:sz w:val="24"/>
          <w:szCs w:val="24"/>
        </w:rPr>
        <w:t xml:space="preserve">3,790</w:t>
      </w:r>
      <w:r>
        <w:rPr>
          <w:rFonts w:ascii="David" w:cs="David" w:eastAsia="David" w:hAnsi="David"/>
          <w:sz w:val="24"/>
          <w:szCs w:val="24"/>
          <w:rtl/>
        </w:rPr>
        <w:t xml:space="preserve"> שורות, מהן </w:t>
      </w:r>
      <w:r>
        <w:rPr>
          <w:rFonts w:ascii="Times New Roman" w:cs="Times New Roman" w:eastAsia="Times New Roman" w:hAnsi="Times New Roman"/>
          <w:sz w:val="24"/>
          <w:szCs w:val="24"/>
        </w:rPr>
        <w:t xml:space="preserve">2,379</w:t>
      </w:r>
      <w:r>
        <w:rPr>
          <w:rFonts w:ascii="David" w:cs="David" w:eastAsia="David" w:hAnsi="David"/>
          <w:sz w:val="24"/>
          <w:szCs w:val="24"/>
          <w:rtl/>
        </w:rPr>
        <w:t xml:space="preserve"> שפוטים ו</w:t>
      </w:r>
      <w:r>
        <w:rPr>
          <w:rFonts w:ascii="Times New Roman" w:cs="Times New Roman" w:eastAsia="Times New Roman" w:hAnsi="Times New Roman"/>
          <w:sz w:val="24"/>
          <w:szCs w:val="24"/>
        </w:rPr>
        <w:t xml:space="preserve">-1,411</w:t>
      </w:r>
      <w:r>
        <w:rPr>
          <w:rFonts w:ascii="David" w:cs="David" w:eastAsia="David" w:hAnsi="David"/>
          <w:sz w:val="24"/>
          <w:szCs w:val="24"/>
          <w:rtl/>
        </w:rPr>
        <w:t xml:space="preserve"> עצורים; הפער הקטן מהמספרים שפורסמו נובע מתהליך הסינתזה (ועקנין,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w:t>
      </w:r>
    </w:p>
    <w:p>
      <w:pPr>
        <w:bidi/>
        <w:spacing w:after="120" w:line="360"/>
        <w:ind w:firstLine="567"/>
        <w:jc w:val="both"/>
      </w:pPr>
      <w:r>
        <w:rPr>
          <w:rFonts w:ascii="David" w:cs="David" w:eastAsia="David" w:hAnsi="David"/>
          <w:sz w:val="24"/>
          <w:szCs w:val="24"/>
          <w:rtl/>
        </w:rPr>
        <w:t xml:space="preserve">המחקר הנוכחי כולל את השפוטים בלבד </w:t>
      </w:r>
      <w:r>
        <w:rPr>
          <w:rFonts w:ascii="Times New Roman" w:cs="Times New Roman" w:eastAsia="Times New Roman" w:hAnsi="Times New Roman"/>
          <w:sz w:val="24"/>
          <w:szCs w:val="24"/>
        </w:rPr>
        <w:t xml:space="preserve">(N = 2,379)</w:t>
      </w:r>
      <w:r>
        <w:rPr>
          <w:rFonts w:ascii="David" w:cs="David" w:eastAsia="David" w:hAnsi="David"/>
          <w:sz w:val="24"/>
          <w:szCs w:val="24"/>
          <w:rtl/>
        </w:rPr>
        <w:t xml:space="preserve">. רובם המכריע גברים (</w:t>
      </w:r>
      <w:r>
        <w:rPr>
          <w:rFonts w:ascii="Times New Roman" w:cs="Times New Roman" w:eastAsia="Times New Roman" w:hAnsi="Times New Roman"/>
          <w:sz w:val="24"/>
          <w:szCs w:val="24"/>
        </w:rPr>
        <w:t xml:space="preserve">2,302,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96.8</w:t>
      </w:r>
      <w:r>
        <w:rPr>
          <w:rFonts w:ascii="David" w:cs="David" w:eastAsia="David" w:hAnsi="David"/>
          <w:sz w:val="24"/>
          <w:szCs w:val="24"/>
          <w:rtl/>
        </w:rPr>
        <w:t xml:space="preserve"> אחוזים) ומיעוטם נשים (</w:t>
      </w:r>
      <w:r>
        <w:rPr>
          <w:rFonts w:ascii="Times New Roman" w:cs="Times New Roman" w:eastAsia="Times New Roman" w:hAnsi="Times New Roman"/>
          <w:sz w:val="24"/>
          <w:szCs w:val="24"/>
        </w:rPr>
        <w:t xml:space="preserve">77,</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3.2</w:t>
      </w:r>
      <w:r>
        <w:rPr>
          <w:rFonts w:ascii="David" w:cs="David" w:eastAsia="David" w:hAnsi="David"/>
          <w:sz w:val="24"/>
          <w:szCs w:val="24"/>
          <w:rtl/>
        </w:rPr>
        <w:t xml:space="preserve"> אחוזים). הגיל הממוצע </w:t>
      </w:r>
      <w:r>
        <w:rPr>
          <w:rFonts w:ascii="Times New Roman" w:cs="Times New Roman" w:eastAsia="Times New Roman" w:hAnsi="Times New Roman"/>
          <w:sz w:val="24"/>
          <w:szCs w:val="24"/>
        </w:rPr>
        <w:t xml:space="preserve">37.9</w:t>
      </w:r>
      <w:r>
        <w:rPr>
          <w:rFonts w:ascii="David" w:cs="David" w:eastAsia="David" w:hAnsi="David"/>
          <w:sz w:val="24"/>
          <w:szCs w:val="24"/>
          <w:rtl/>
        </w:rPr>
        <w:t xml:space="preserve"> שנים (סטיית תקן </w:t>
      </w:r>
      <w:r>
        <w:rPr>
          <w:rFonts w:ascii="Times New Roman" w:cs="Times New Roman" w:eastAsia="Times New Roman" w:hAnsi="Times New Roman"/>
          <w:sz w:val="24"/>
          <w:szCs w:val="24"/>
        </w:rPr>
        <w:t xml:space="preserve">12.0</w:t>
      </w:r>
      <w:r>
        <w:rPr>
          <w:rFonts w:ascii="David" w:cs="David" w:eastAsia="David" w:hAnsi="David"/>
          <w:sz w:val="24"/>
          <w:szCs w:val="24"/>
          <w:rtl/>
        </w:rPr>
        <w:t xml:space="preserve">), בטווח של </w:t>
      </w:r>
      <w:r>
        <w:rPr>
          <w:rFonts w:ascii="Times New Roman" w:cs="Times New Roman" w:eastAsia="Times New Roman" w:hAnsi="Times New Roman"/>
          <w:sz w:val="24"/>
          <w:szCs w:val="24"/>
        </w:rPr>
        <w:t xml:space="preserve">18</w:t>
      </w:r>
      <w:r>
        <w:rPr>
          <w:rFonts w:ascii="David" w:cs="David" w:eastAsia="David" w:hAnsi="David"/>
          <w:sz w:val="24"/>
          <w:szCs w:val="24"/>
          <w:rtl/>
        </w:rPr>
        <w:t xml:space="preserve"> עד </w:t>
      </w:r>
      <w:r>
        <w:rPr>
          <w:rFonts w:ascii="Times New Roman" w:cs="Times New Roman" w:eastAsia="Times New Roman" w:hAnsi="Times New Roman"/>
          <w:sz w:val="24"/>
          <w:szCs w:val="24"/>
        </w:rPr>
        <w:t xml:space="preserve">82.</w:t>
      </w:r>
      <w:r>
        <w:rPr>
          <w:rFonts w:ascii="David" w:cs="David" w:eastAsia="David" w:hAnsi="David"/>
          <w:sz w:val="24"/>
          <w:szCs w:val="24"/>
          <w:rtl/>
        </w:rPr>
        <w:t xml:space="preserve"> מעט יותר ממחצית (</w:t>
      </w:r>
      <w:r>
        <w:rPr>
          <w:rFonts w:ascii="Times New Roman" w:cs="Times New Roman" w:eastAsia="Times New Roman" w:hAnsi="Times New Roman"/>
          <w:sz w:val="24"/>
          <w:szCs w:val="24"/>
        </w:rPr>
        <w:t xml:space="preserve">1,243,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52.2</w:t>
      </w:r>
      <w:r>
        <w:rPr>
          <w:rFonts w:ascii="David" w:cs="David" w:eastAsia="David" w:hAnsi="David"/>
          <w:sz w:val="24"/>
          <w:szCs w:val="24"/>
          <w:rtl/>
        </w:rPr>
        <w:t xml:space="preserve"> אחוזים) לא יהודים ו</w:t>
      </w:r>
      <w:r>
        <w:rPr>
          <w:rFonts w:ascii="Times New Roman" w:cs="Times New Roman" w:eastAsia="Times New Roman" w:hAnsi="Times New Roman"/>
          <w:sz w:val="24"/>
          <w:szCs w:val="24"/>
        </w:rPr>
        <w:t xml:space="preserve">-1,136</w:t>
      </w:r>
      <w:r>
        <w:rPr>
          <w:rFonts w:ascii="David" w:cs="David" w:eastAsia="David" w:hAnsi="David"/>
          <w:sz w:val="24"/>
          <w:szCs w:val="24"/>
          <w:rtl/>
        </w:rPr>
        <w:t xml:space="preserve"> (</w:t>
      </w:r>
      <w:r>
        <w:rPr>
          <w:rFonts w:ascii="Times New Roman" w:cs="Times New Roman" w:eastAsia="Times New Roman" w:hAnsi="Times New Roman"/>
          <w:sz w:val="24"/>
          <w:szCs w:val="24"/>
        </w:rPr>
        <w:t xml:space="preserve">47.8</w:t>
      </w:r>
      <w:r>
        <w:rPr>
          <w:rFonts w:ascii="David" w:cs="David" w:eastAsia="David" w:hAnsi="David"/>
          <w:sz w:val="24"/>
          <w:szCs w:val="24"/>
          <w:rtl/>
        </w:rPr>
        <w:t xml:space="preserve"> אחוזים) יהודים. עבור </w:t>
      </w:r>
      <w:r>
        <w:rPr>
          <w:rFonts w:ascii="Times New Roman" w:cs="Times New Roman" w:eastAsia="Times New Roman" w:hAnsi="Times New Roman"/>
          <w:sz w:val="24"/>
          <w:szCs w:val="24"/>
        </w:rPr>
        <w:t xml:space="preserve">1,162</w:t>
      </w:r>
      <w:r>
        <w:rPr>
          <w:rFonts w:ascii="David" w:cs="David" w:eastAsia="David" w:hAnsi="David"/>
          <w:sz w:val="24"/>
          <w:szCs w:val="24"/>
          <w:rtl/>
        </w:rPr>
        <w:t xml:space="preserve"> מהשפוטים (</w:t>
      </w:r>
      <w:r>
        <w:rPr>
          <w:rFonts w:ascii="Times New Roman" w:cs="Times New Roman" w:eastAsia="Times New Roman" w:hAnsi="Times New Roman"/>
          <w:sz w:val="24"/>
          <w:szCs w:val="24"/>
        </w:rPr>
        <w:t xml:space="preserve">48.8</w:t>
      </w:r>
      <w:r>
        <w:rPr>
          <w:rFonts w:ascii="David" w:cs="David" w:eastAsia="David" w:hAnsi="David"/>
          <w:sz w:val="24"/>
          <w:szCs w:val="24"/>
          <w:rtl/>
        </w:rPr>
        <w:t xml:space="preserve"> אחוזים) זהו המאסר הראשון, </w:t>
      </w:r>
      <w:r>
        <w:rPr>
          <w:rFonts w:ascii="Times New Roman" w:cs="Times New Roman" w:eastAsia="Times New Roman" w:hAnsi="Times New Roman"/>
          <w:sz w:val="24"/>
          <w:szCs w:val="24"/>
        </w:rPr>
        <w:t xml:space="preserve">528</w:t>
      </w:r>
      <w:r>
        <w:rPr>
          <w:rFonts w:ascii="David" w:cs="David" w:eastAsia="David" w:hAnsi="David"/>
          <w:sz w:val="24"/>
          <w:szCs w:val="24"/>
          <w:rtl/>
        </w:rPr>
        <w:t xml:space="preserve"> (</w:t>
      </w:r>
      <w:r>
        <w:rPr>
          <w:rFonts w:ascii="Times New Roman" w:cs="Times New Roman" w:eastAsia="Times New Roman" w:hAnsi="Times New Roman"/>
          <w:sz w:val="24"/>
          <w:szCs w:val="24"/>
        </w:rPr>
        <w:t xml:space="preserve">22.2</w:t>
      </w:r>
      <w:r>
        <w:rPr>
          <w:rFonts w:ascii="David" w:cs="David" w:eastAsia="David" w:hAnsi="David"/>
          <w:sz w:val="24"/>
          <w:szCs w:val="24"/>
          <w:rtl/>
        </w:rPr>
        <w:t xml:space="preserve"> אחוזים) במאסרם השני ו</w:t>
      </w:r>
      <w:r>
        <w:rPr>
          <w:rFonts w:ascii="Times New Roman" w:cs="Times New Roman" w:eastAsia="Times New Roman" w:hAnsi="Times New Roman"/>
          <w:sz w:val="24"/>
          <w:szCs w:val="24"/>
        </w:rPr>
        <w:t xml:space="preserve">-689</w:t>
      </w:r>
      <w:r>
        <w:rPr>
          <w:rFonts w:ascii="David" w:cs="David" w:eastAsia="David" w:hAnsi="David"/>
          <w:sz w:val="24"/>
          <w:szCs w:val="24"/>
          <w:rtl/>
        </w:rPr>
        <w:t xml:space="preserve"> (</w:t>
      </w:r>
      <w:r>
        <w:rPr>
          <w:rFonts w:ascii="Times New Roman" w:cs="Times New Roman" w:eastAsia="Times New Roman" w:hAnsi="Times New Roman"/>
          <w:sz w:val="24"/>
          <w:szCs w:val="24"/>
        </w:rPr>
        <w:t xml:space="preserve">29.0</w:t>
      </w:r>
      <w:r>
        <w:rPr>
          <w:rFonts w:ascii="David" w:cs="David" w:eastAsia="David" w:hAnsi="David"/>
          <w:sz w:val="24"/>
          <w:szCs w:val="24"/>
          <w:rtl/>
        </w:rPr>
        <w:t xml:space="preserve"> אחוזים) במאסר שלישי ומעלה. רוב השפוטים (</w:t>
      </w:r>
      <w:r>
        <w:rPr>
          <w:rFonts w:ascii="Times New Roman" w:cs="Times New Roman" w:eastAsia="Times New Roman" w:hAnsi="Times New Roman"/>
          <w:sz w:val="24"/>
          <w:szCs w:val="24"/>
        </w:rPr>
        <w:t xml:space="preserve">1,624,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68.3</w:t>
      </w:r>
      <w:r>
        <w:rPr>
          <w:rFonts w:ascii="David" w:cs="David" w:eastAsia="David" w:hAnsi="David"/>
          <w:sz w:val="24"/>
          <w:szCs w:val="24"/>
          <w:rtl/>
        </w:rPr>
        <w:t xml:space="preserve"> אחוזים) שוהים באגף הנוכחי יותר משלושה חודשים, </w:t>
      </w:r>
      <w:r>
        <w:rPr>
          <w:rFonts w:ascii="Times New Roman" w:cs="Times New Roman" w:eastAsia="Times New Roman" w:hAnsi="Times New Roman"/>
          <w:sz w:val="24"/>
          <w:szCs w:val="24"/>
        </w:rPr>
        <w:t xml:space="preserve">480</w:t>
      </w:r>
      <w:r>
        <w:rPr>
          <w:rFonts w:ascii="David" w:cs="David" w:eastAsia="David" w:hAnsi="David"/>
          <w:sz w:val="24"/>
          <w:szCs w:val="24"/>
          <w:rtl/>
        </w:rPr>
        <w:t xml:space="preserve"> (</w:t>
      </w:r>
      <w:r>
        <w:rPr>
          <w:rFonts w:ascii="Times New Roman" w:cs="Times New Roman" w:eastAsia="Times New Roman" w:hAnsi="Times New Roman"/>
          <w:sz w:val="24"/>
          <w:szCs w:val="24"/>
        </w:rPr>
        <w:t xml:space="preserve">20.2</w:t>
      </w:r>
      <w:r>
        <w:rPr>
          <w:rFonts w:ascii="David" w:cs="David" w:eastAsia="David" w:hAnsi="David"/>
          <w:sz w:val="24"/>
          <w:szCs w:val="24"/>
          <w:rtl/>
        </w:rPr>
        <w:t xml:space="preserve"> אחוזים) בין חודש לשלושה חודשים, </w:t>
      </w:r>
      <w:r>
        <w:rPr>
          <w:rFonts w:ascii="Times New Roman" w:cs="Times New Roman" w:eastAsia="Times New Roman" w:hAnsi="Times New Roman"/>
          <w:sz w:val="24"/>
          <w:szCs w:val="24"/>
        </w:rPr>
        <w:t xml:space="preserve">219</w:t>
      </w:r>
      <w:r>
        <w:rPr>
          <w:rFonts w:ascii="David" w:cs="David" w:eastAsia="David" w:hAnsi="David"/>
          <w:sz w:val="24"/>
          <w:szCs w:val="24"/>
          <w:rtl/>
        </w:rPr>
        <w:t xml:space="preserve"> (</w:t>
      </w:r>
      <w:r>
        <w:rPr>
          <w:rFonts w:ascii="Times New Roman" w:cs="Times New Roman" w:eastAsia="Times New Roman" w:hAnsi="Times New Roman"/>
          <w:sz w:val="24"/>
          <w:szCs w:val="24"/>
        </w:rPr>
        <w:t xml:space="preserve">9.2</w:t>
      </w:r>
      <w:r>
        <w:rPr>
          <w:rFonts w:ascii="David" w:cs="David" w:eastAsia="David" w:hAnsi="David"/>
          <w:sz w:val="24"/>
          <w:szCs w:val="24"/>
          <w:rtl/>
        </w:rPr>
        <w:t xml:space="preserve"> אחוזים) בין שבוע לחודש ו</w:t>
      </w:r>
      <w:r>
        <w:rPr>
          <w:rFonts w:ascii="Times New Roman" w:cs="Times New Roman" w:eastAsia="Times New Roman" w:hAnsi="Times New Roman"/>
          <w:sz w:val="24"/>
          <w:szCs w:val="24"/>
        </w:rPr>
        <w:t xml:space="preserve">-56</w:t>
      </w:r>
      <w:r>
        <w:rPr>
          <w:rFonts w:ascii="David" w:cs="David" w:eastAsia="David" w:hAnsi="David"/>
          <w:sz w:val="24"/>
          <w:szCs w:val="24"/>
          <w:rtl/>
        </w:rPr>
        <w:t xml:space="preserve"> (</w:t>
      </w:r>
      <w:r>
        <w:rPr>
          <w:rFonts w:ascii="Times New Roman" w:cs="Times New Roman" w:eastAsia="Times New Roman" w:hAnsi="Times New Roman"/>
          <w:sz w:val="24"/>
          <w:szCs w:val="24"/>
        </w:rPr>
        <w:t xml:space="preserve">2.4</w:t>
      </w:r>
      <w:r>
        <w:rPr>
          <w:rFonts w:ascii="David" w:cs="David" w:eastAsia="David" w:hAnsi="David"/>
          <w:sz w:val="24"/>
          <w:szCs w:val="24"/>
          <w:rtl/>
        </w:rPr>
        <w:t xml:space="preserve"> אחוזים) פחות משבוע. </w:t>
      </w:r>
      <w:r>
        <w:rPr>
          <w:rFonts w:ascii="Times New Roman" w:cs="Times New Roman" w:eastAsia="Times New Roman" w:hAnsi="Times New Roman"/>
          <w:sz w:val="24"/>
          <w:szCs w:val="24"/>
        </w:rPr>
        <w:t xml:space="preserve">486</w:t>
      </w:r>
      <w:r>
        <w:rPr>
          <w:rFonts w:ascii="David" w:cs="David" w:eastAsia="David" w:hAnsi="David"/>
          <w:sz w:val="24"/>
          <w:szCs w:val="24"/>
          <w:rtl/>
        </w:rPr>
        <w:t xml:space="preserve"> (</w:t>
      </w:r>
      <w:r>
        <w:rPr>
          <w:rFonts w:ascii="Times New Roman" w:cs="Times New Roman" w:eastAsia="Times New Roman" w:hAnsi="Times New Roman"/>
          <w:sz w:val="24"/>
          <w:szCs w:val="24"/>
        </w:rPr>
        <w:t xml:space="preserve">20.4</w:t>
      </w:r>
      <w:r>
        <w:rPr>
          <w:rFonts w:ascii="David" w:cs="David" w:eastAsia="David" w:hAnsi="David"/>
          <w:sz w:val="24"/>
          <w:szCs w:val="24"/>
          <w:rtl/>
        </w:rPr>
        <w:t xml:space="preserve"> אחוזים) נמצאים במסלול שיקום. ההתפלגות המלאה מובאת בלוח </w:t>
      </w:r>
      <w:r>
        <w:rPr>
          <w:rFonts w:ascii="Times New Roman" w:cs="Times New Roman" w:eastAsia="Times New Roman" w:hAnsi="Times New Roman"/>
          <w:sz w:val="24"/>
          <w:szCs w:val="24"/>
        </w:rPr>
        <w:t xml:space="preserve">2</w:t>
      </w:r>
      <w:r>
        <w:rPr>
          <w:rFonts w:ascii="David" w:cs="David" w:eastAsia="David" w:hAnsi="David"/>
          <w:sz w:val="24"/>
          <w:szCs w:val="24"/>
          <w:rtl/>
        </w:rPr>
        <w:t xml:space="preserve"> בפרק הממצאים.</w:t>
      </w:r>
    </w:p>
    <w:p>
      <w:pPr>
        <w:pStyle w:val="Heading2"/>
        <w:keepNext/>
        <w:bidi/>
        <w:spacing w:after="120" w:before="240" w:line="360"/>
        <w:jc w:val="right"/>
      </w:pPr>
      <w:r>
        <w:rPr>
          <w:rFonts w:ascii="David" w:cs="David" w:eastAsia="David" w:hAnsi="David"/>
          <w:b/>
          <w:bCs/>
          <w:sz w:val="28"/>
          <w:szCs w:val="28"/>
          <w:rtl/>
        </w:rPr>
        <w:t xml:space="preserve">כלי המחקר</w:t>
      </w:r>
    </w:p>
    <w:p>
      <w:pPr>
        <w:bidi/>
        <w:spacing w:after="120" w:line="360"/>
        <w:ind w:firstLine="567"/>
        <w:jc w:val="both"/>
      </w:pPr>
      <w:r>
        <w:rPr>
          <w:rFonts w:ascii="David" w:cs="David" w:eastAsia="David" w:hAnsi="David"/>
          <w:sz w:val="24"/>
          <w:szCs w:val="24"/>
          <w:rtl/>
        </w:rPr>
        <w:t xml:space="preserve">כלי המחקר הוא שאלון הדיווח העצמי של סקר תנאי המחיה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השאלון נבנה על בסיס שאלון "החיים במשמורת" </w:t>
      </w:r>
      <w:r>
        <w:rPr>
          <w:rFonts w:ascii="Times New Roman" w:cs="Times New Roman" w:eastAsia="Times New Roman" w:hAnsi="Times New Roman"/>
          <w:sz w:val="24"/>
          <w:szCs w:val="24"/>
        </w:rPr>
        <w:t xml:space="preserve">(Life in Custody)</w:t>
      </w:r>
      <w:r>
        <w:rPr>
          <w:rFonts w:ascii="David" w:cs="David" w:eastAsia="David" w:hAnsi="David"/>
          <w:sz w:val="24"/>
          <w:szCs w:val="24"/>
          <w:rtl/>
        </w:rPr>
        <w:t xml:space="preserve"> ההולנדי, שפותח ונבדק בבתי הסוהר בהולנד וכולל </w:t>
      </w:r>
      <w:r>
        <w:rPr>
          <w:rFonts w:ascii="Times New Roman" w:cs="Times New Roman" w:eastAsia="Times New Roman" w:hAnsi="Times New Roman"/>
          <w:sz w:val="24"/>
          <w:szCs w:val="24"/>
        </w:rPr>
        <w:t xml:space="preserve">136</w:t>
      </w:r>
      <w:r>
        <w:rPr>
          <w:rFonts w:ascii="David" w:cs="David" w:eastAsia="David" w:hAnsi="David"/>
          <w:sz w:val="24"/>
          <w:szCs w:val="24"/>
          <w:rtl/>
        </w:rPr>
        <w:t xml:space="preserve"> פריטים ב</w:t>
      </w:r>
      <w:r>
        <w:rPr>
          <w:rFonts w:ascii="Times New Roman" w:cs="Times New Roman" w:eastAsia="Times New Roman" w:hAnsi="Times New Roman"/>
          <w:sz w:val="24"/>
          <w:szCs w:val="24"/>
        </w:rPr>
        <w:t xml:space="preserve">-21</w:t>
      </w:r>
      <w:r>
        <w:rPr>
          <w:rFonts w:ascii="David" w:cs="David" w:eastAsia="David" w:hAnsi="David"/>
          <w:sz w:val="24"/>
          <w:szCs w:val="24"/>
          <w:rtl/>
        </w:rPr>
        <w:t xml:space="preserve"> נושאים, עם מהימנויות של </w:t>
      </w:r>
      <w:r>
        <w:rPr>
          <w:rFonts w:ascii="Times New Roman" w:cs="Times New Roman" w:eastAsia="Times New Roman" w:hAnsi="Times New Roman"/>
          <w:sz w:val="24"/>
          <w:szCs w:val="24"/>
        </w:rPr>
        <w:t xml:space="preserve">0.78</w:t>
      </w:r>
      <w:r>
        <w:rPr>
          <w:rFonts w:ascii="David" w:cs="David" w:eastAsia="David" w:hAnsi="David"/>
          <w:sz w:val="24"/>
          <w:szCs w:val="24"/>
          <w:rtl/>
        </w:rPr>
        <w:t xml:space="preserve"> עד </w:t>
      </w:r>
      <w:r>
        <w:rPr>
          <w:rFonts w:ascii="Times New Roman" w:cs="Times New Roman" w:eastAsia="Times New Roman" w:hAnsi="Times New Roman"/>
          <w:sz w:val="24"/>
          <w:szCs w:val="24"/>
        </w:rPr>
        <w:t xml:space="preserve">0.90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(Van Ginneken et al., 2019)</w:t>
      </w:r>
      <w:r>
        <w:rPr>
          <w:rFonts w:ascii="David" w:cs="David" w:eastAsia="David" w:hAnsi="David"/>
          <w:sz w:val="24"/>
          <w:szCs w:val="24"/>
          <w:rtl/>
        </w:rPr>
        <w:t xml:space="preserve">. לצורך הסקר הישראלי נבחרו </w:t>
      </w:r>
      <w:r>
        <w:rPr>
          <w:rFonts w:ascii="Times New Roman" w:cs="Times New Roman" w:eastAsia="Times New Roman" w:hAnsi="Times New Roman"/>
          <w:sz w:val="24"/>
          <w:szCs w:val="24"/>
        </w:rPr>
        <w:t xml:space="preserve">39</w:t>
      </w:r>
      <w:r>
        <w:rPr>
          <w:rFonts w:ascii="David" w:cs="David" w:eastAsia="David" w:hAnsi="David"/>
          <w:sz w:val="24"/>
          <w:szCs w:val="24"/>
          <w:rtl/>
        </w:rPr>
        <w:t xml:space="preserve"> פריטים בתשעה נושאים, השאלות תורגמו לאנגלית ותורגמו בחזרה לעברית כדי לבדוק את תוקף התרגום, והוספו שאלות המתאימות לשירות בתי הסוהר. כל הפריטים נמדדים בסולם ליקרט של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(שביעות רצון או הסכמה נמוכה מאוד) עד </w:t>
      </w:r>
      <w:r>
        <w:rPr>
          <w:rFonts w:ascii="Times New Roman" w:cs="Times New Roman" w:eastAsia="Times New Roman" w:hAnsi="Times New Roman"/>
          <w:sz w:val="24"/>
          <w:szCs w:val="24"/>
        </w:rPr>
        <w:t xml:space="preserve">5</w:t>
      </w:r>
      <w:r>
        <w:rPr>
          <w:rFonts w:ascii="David" w:cs="David" w:eastAsia="David" w:hAnsi="David"/>
          <w:sz w:val="24"/>
          <w:szCs w:val="24"/>
          <w:rtl/>
        </w:rPr>
        <w:t xml:space="preserve"> (גבוהה מאוד). מהימנויות תשעת הנושאים בסקר המקורי נעו בין </w:t>
      </w:r>
      <w:r>
        <w:rPr>
          <w:rFonts w:ascii="Times New Roman" w:cs="Times New Roman" w:eastAsia="Times New Roman" w:hAnsi="Times New Roman"/>
          <w:sz w:val="24"/>
          <w:szCs w:val="24"/>
        </w:rPr>
        <w:t xml:space="preserve">0.70</w:t>
      </w:r>
      <w:r>
        <w:rPr>
          <w:rFonts w:ascii="David" w:cs="David" w:eastAsia="David" w:hAnsi="David"/>
          <w:sz w:val="24"/>
          <w:szCs w:val="24"/>
          <w:rtl/>
        </w:rPr>
        <w:t xml:space="preserve"> ל</w:t>
      </w:r>
      <w:r>
        <w:rPr>
          <w:rFonts w:ascii="Times New Roman" w:cs="Times New Roman" w:eastAsia="Times New Roman" w:hAnsi="Times New Roman"/>
          <w:sz w:val="24"/>
          <w:szCs w:val="24"/>
        </w:rPr>
        <w:t xml:space="preserve">-0.91</w:t>
      </w:r>
      <w:r>
        <w:rPr>
          <w:rFonts w:ascii="David" w:cs="David" w:eastAsia="David" w:hAnsi="David"/>
          <w:sz w:val="24"/>
          <w:szCs w:val="24"/>
          <w:rtl/>
        </w:rPr>
        <w:t xml:space="preserve">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המחקר הנוכחי משתמש בשניים מהנושאים ובמשתני רקע.</w:t>
      </w:r>
    </w:p>
    <w:p>
      <w:pPr>
        <w:bidi/>
        <w:spacing w:after="120" w:line="360"/>
        <w:ind w:firstLine="567"/>
        <w:jc w:val="both"/>
      </w:pPr>
      <w:r>
        <w:rPr>
          <w:rFonts w:ascii="David" w:cs="David" w:eastAsia="David" w:hAnsi="David"/>
          <w:sz w:val="24"/>
          <w:szCs w:val="24"/>
          <w:rtl/>
        </w:rPr>
        <w:t xml:space="preserve">לגיטימיות של הסגל. הסולם כולל שלושה פריטים: "אני יכול לדבר עם הסוהרים באגף אם אני מודאג או עצוב", "הסוהרים באגף מתייחסים אליי בכבוד" ו"אני מרוצה מהטיפול בבקשות שלי". שלושת הפריטים מבטאים שלושה מרכיבים של צדק פרוצדורלי במודל של טיילר </w:t>
      </w:r>
      <w:r>
        <w:rPr>
          <w:rFonts w:ascii="Times New Roman" w:cs="Times New Roman" w:eastAsia="Times New Roman" w:hAnsi="Times New Roman"/>
          <w:sz w:val="24"/>
          <w:szCs w:val="24"/>
        </w:rPr>
        <w:t xml:space="preserve">(Tyler, 1990)</w:t>
      </w:r>
      <w:r>
        <w:rPr>
          <w:rFonts w:ascii="David" w:cs="David" w:eastAsia="David" w:hAnsi="David"/>
          <w:sz w:val="24"/>
          <w:szCs w:val="24"/>
          <w:rtl/>
        </w:rPr>
        <w:t xml:space="preserve">: נגישות ומתן קול, יחס מכבד, והוגנות בטיפול בבקשות. בסקר המקורי מהימנות הסולם הייתה </w:t>
      </w:r>
      <w:r>
        <w:rPr>
          <w:rFonts w:ascii="Times New Roman" w:cs="Times New Roman" w:eastAsia="Times New Roman" w:hAnsi="Times New Roman"/>
          <w:sz w:val="24"/>
          <w:szCs w:val="24"/>
        </w:rPr>
        <w:t xml:space="preserve">0.72</w:t>
      </w:r>
      <w:r>
        <w:rPr>
          <w:rFonts w:ascii="David" w:cs="David" w:eastAsia="David" w:hAnsi="David"/>
          <w:sz w:val="24"/>
          <w:szCs w:val="24"/>
          <w:rtl/>
        </w:rPr>
        <w:t xml:space="preserve"> ובקובץ הסינתטי </w:t>
      </w:r>
      <w:r>
        <w:rPr>
          <w:rFonts w:ascii="Times New Roman" w:cs="Times New Roman" w:eastAsia="Times New Roman" w:hAnsi="Times New Roman"/>
          <w:sz w:val="24"/>
          <w:szCs w:val="24"/>
        </w:rPr>
        <w:t xml:space="preserve">0.67</w:t>
      </w:r>
      <w:r>
        <w:rPr>
          <w:rFonts w:ascii="David" w:cs="David" w:eastAsia="David" w:hAnsi="David"/>
          <w:sz w:val="24"/>
          <w:szCs w:val="24"/>
          <w:rtl/>
        </w:rPr>
        <w:t xml:space="preserve"> (ועקנין, </w:t>
      </w:r>
      <w:r>
        <w:rPr>
          <w:rFonts w:ascii="Times New Roman" w:cs="Times New Roman" w:eastAsia="Times New Roman" w:hAnsi="Times New Roman"/>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 ציון המשתנה הוא ממוצע הפריטים, המחושב כאשר נענו לפחות שניים מהשלושה, וציון גבוה מבטא לגיטימיות גבוהה.</w:t>
      </w:r>
    </w:p>
    <w:p>
      <w:pPr>
        <w:bidi/>
        <w:spacing w:after="120" w:line="360"/>
        <w:ind w:firstLine="567"/>
        <w:jc w:val="both"/>
      </w:pPr>
      <w:r>
        <w:rPr>
          <w:rFonts w:ascii="David" w:cs="David" w:eastAsia="David" w:hAnsi="David"/>
          <w:sz w:val="24"/>
          <w:szCs w:val="24"/>
          <w:rtl/>
        </w:rPr>
        <w:t xml:space="preserve">רווחה נפשית. הסולם כולל חמישה פריטים: "באופן כללי, הבריאות שלי השתפרה מאז כניסתי למאסר", "הבריאות הגופנית שלי טובה", "הבריאות הנפשית שלי טובה", "עד כמה הרגשת שמח במהלך החודש האחרון" ו"עד כמה הרגשת מרוצה מהחיים בחודש האחרון". בסקר המקורי מהימנות הסולם הייתה </w:t>
      </w:r>
      <w:r>
        <w:rPr>
          <w:rFonts w:ascii="Times New Roman" w:cs="Times New Roman" w:eastAsia="Times New Roman" w:hAnsi="Times New Roman"/>
          <w:sz w:val="24"/>
          <w:szCs w:val="24"/>
        </w:rPr>
        <w:t xml:space="preserve">0.85</w:t>
      </w:r>
      <w:r>
        <w:rPr>
          <w:rFonts w:ascii="David" w:cs="David" w:eastAsia="David" w:hAnsi="David"/>
          <w:sz w:val="24"/>
          <w:szCs w:val="24"/>
          <w:rtl/>
        </w:rPr>
        <w:t xml:space="preserve"> ובקובץ הסינתטי </w:t>
      </w:r>
      <w:r>
        <w:rPr>
          <w:rFonts w:ascii="Times New Roman" w:cs="Times New Roman" w:eastAsia="Times New Roman" w:hAnsi="Times New Roman"/>
          <w:sz w:val="24"/>
          <w:szCs w:val="24"/>
        </w:rPr>
        <w:t xml:space="preserve">0.82</w:t>
      </w:r>
      <w:r>
        <w:rPr>
          <w:rFonts w:ascii="David" w:cs="David" w:eastAsia="David" w:hAnsi="David"/>
          <w:sz w:val="24"/>
          <w:szCs w:val="24"/>
          <w:rtl/>
        </w:rPr>
        <w:t xml:space="preserve"> (ועקנין, </w:t>
      </w:r>
      <w:r>
        <w:rPr>
          <w:rFonts w:ascii="Times New Roman" w:cs="Times New Roman" w:eastAsia="Times New Roman" w:hAnsi="Times New Roman"/>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 ציון המשתנה הוא ממוצע הפריטים, המחושב כאשר נענו לפחות שלושה מהחמישה, וציון גבוה מבטא רווחה גבוהה. אין בסולם פריטים הפוכים.</w:t>
      </w:r>
    </w:p>
    <w:p>
      <w:pPr>
        <w:bidi/>
        <w:spacing w:after="120" w:line="360"/>
        <w:ind w:firstLine="567"/>
        <w:jc w:val="both"/>
      </w:pPr>
      <w:r>
        <w:rPr>
          <w:rFonts w:ascii="David" w:cs="David" w:eastAsia="David" w:hAnsi="David"/>
          <w:sz w:val="24"/>
          <w:szCs w:val="24"/>
          <w:rtl/>
        </w:rPr>
        <w:t xml:space="preserve">משתני רקע. ותק באגף נמדד בארבע קטגוריות (פחות משבוע, שבוע עד חודש, חודש עד שלושה חודשים, מעל שלושה חודשים) ובקידוד בינארי נגזר (עד חודש לעומת יותר מחודש). לאום קודד לשתי קטגוריות (יהודים ולא יהודים), מספר המאסרים כשפוט לשלוש קטגוריות (מאסר ראשון, שני, שלישי ומעלה), והגיל בשנים (ועקנין,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w:t>
      </w:r>
    </w:p>
    <w:p>
      <w:pPr>
        <w:pStyle w:val="Heading2"/>
        <w:keepNext/>
        <w:bidi/>
        <w:spacing w:after="120" w:before="240" w:line="360"/>
        <w:jc w:val="right"/>
      </w:pPr>
      <w:r>
        <w:rPr>
          <w:rFonts w:ascii="David" w:cs="David" w:eastAsia="David" w:hAnsi="David"/>
          <w:b/>
          <w:bCs/>
          <w:sz w:val="28"/>
          <w:szCs w:val="28"/>
          <w:rtl/>
        </w:rPr>
        <w:t xml:space="preserve">ניתוחים סטטיסטיים</w:t>
      </w:r>
    </w:p>
    <w:p>
      <w:pPr>
        <w:bidi/>
        <w:spacing w:after="120" w:line="360"/>
        <w:ind w:firstLine="567"/>
        <w:jc w:val="both"/>
      </w:pPr>
      <w:r>
        <w:rPr>
          <w:rFonts w:ascii="David" w:cs="David" w:eastAsia="David" w:hAnsi="David"/>
          <w:sz w:val="24"/>
          <w:szCs w:val="24"/>
          <w:rtl/>
        </w:rPr>
        <w:t xml:space="preserve">הנתונים נותחו בתוכנת </w:t>
      </w:r>
      <w:r>
        <w:rPr>
          <w:rFonts w:ascii="Times New Roman" w:cs="Times New Roman" w:eastAsia="Times New Roman" w:hAnsi="Times New Roman"/>
          <w:sz w:val="24"/>
          <w:szCs w:val="24"/>
        </w:rPr>
        <w:t xml:space="preserve">SPSS</w:t>
      </w:r>
      <w:r>
        <w:rPr>
          <w:rFonts w:ascii="David" w:cs="David" w:eastAsia="David" w:hAnsi="David"/>
          <w:sz w:val="24"/>
          <w:szCs w:val="24"/>
          <w:rtl/>
        </w:rPr>
        <w:t xml:space="preserve">, בשלב הראשון סוננו השפוטים בלבד ונבדקה התפלגות סוג האסיר. בשלב השני חושבה סטטיסטיקה תיאורית לשמונת הפריטים ונבדקה מהימנות שני הסולמות באמצעות אלפא של קרונבך, ולאחר מכן חושבו ציוני הסולמות ונבדקו התפלגויותיהם, כולל מבחני נורמליות. בשלב השלישי חושב מתאם פירסון בין הרווחה הנפשית ללגיטימיות, ובשל ההתפלגות המוטה של הלגיטימיות חושב גם מתאם ספירמן, וכן מתאמים בין כל פריט לגיטימיות לבין הרווחה. בשלב הרביעי נערכה רגרסיה ליניארית היררכית שבה הלגיטימיות שימשה משתנה תלוי: בצעד הראשון הוזנה הרווחה הנפשית, בצעד השני הגיל והלאום, ובצעד השלישי מספר המאסרים והוותק באגף. בשלב החמישי נבחן הקשר בין ותק באגף ללגיטימיות באמצעות ניתוח שונות חד-כיווני על פני ארבע קטגוריות הוותק, מתאם ספירמן ומבחן </w:t>
      </w:r>
      <w:r>
        <w:rPr>
          <w:rFonts w:ascii="Times New Roman" w:cs="Times New Roman" w:eastAsia="Times New Roman" w:hAnsi="Times New Roman"/>
          <w:sz w:val="24"/>
          <w:szCs w:val="24"/>
        </w:rPr>
        <w:t xml:space="preserve">t</w:t>
      </w:r>
      <w:r>
        <w:rPr>
          <w:rFonts w:ascii="David" w:cs="David" w:eastAsia="David" w:hAnsi="David"/>
          <w:sz w:val="24"/>
          <w:szCs w:val="24"/>
          <w:rtl/>
        </w:rPr>
        <w:t xml:space="preserve"> לקידוד הבינארי. רמת המובהקות שנקבעה היא </w:t>
      </w:r>
      <w:r>
        <w:rPr>
          <w:rFonts w:ascii="Times New Roman" w:cs="Times New Roman" w:eastAsia="Times New Roman" w:hAnsi="Times New Roman"/>
          <w:sz w:val="24"/>
          <w:szCs w:val="24"/>
        </w:rPr>
        <w:t xml:space="preserve">p &lt; 0.05</w:t>
      </w:r>
      <w:r>
        <w:rPr>
          <w:rFonts w:ascii="David" w:cs="David" w:eastAsia="David" w:hAnsi="David"/>
          <w:sz w:val="24"/>
          <w:szCs w:val="24"/>
          <w:rtl/>
        </w:rPr>
        <w:t xml:space="preserve">. הפלטים המרכזיים מובאים בנספח.</w:t>
      </w:r>
    </w:p>
    <w:p>
      <w:pPr>
        <w:pStyle w:val="Heading1"/>
        <w:pageBreakBefore/>
        <w:bidi/>
        <w:spacing w:after="240" w:before="0" w:line="360"/>
        <w:jc w:val="right"/>
      </w:pPr>
      <w:r>
        <w:rPr>
          <w:rFonts w:ascii="David" w:cs="David" w:eastAsia="David" w:hAnsi="David"/>
          <w:b/>
          <w:bCs/>
          <w:sz w:val="32"/>
          <w:szCs w:val="32"/>
          <w:rtl/>
        </w:rPr>
        <w:t xml:space="preserve">ממצאים</w:t>
      </w:r>
    </w:p>
    <w:p>
      <w:pPr>
        <w:bidi/>
        <w:spacing w:after="120" w:line="360"/>
        <w:ind w:firstLine="567"/>
        <w:jc w:val="both"/>
      </w:pPr>
      <w:r>
        <w:rPr>
          <w:rFonts w:ascii="David" w:cs="David" w:eastAsia="David" w:hAnsi="David"/>
          <w:sz w:val="24"/>
          <w:szCs w:val="24"/>
          <w:rtl/>
        </w:rPr>
        <w:t xml:space="preserve">הפרק מציג את הממצאים בסדר הניתוחים: תיאור האוכלוסייה, סטטיסטיקה תיאורית של הפריטים, מהימנות הסולמות, ממוצעי הסולמות, המתאמים, הרגרסיה, ולבסוף הקשר לוותק באגף. כל ניתוח מוצג בלוח ואחריו הסבר מילולי.</w:t>
      </w:r>
    </w:p>
    <w:p>
      <w:pPr>
        <w:pStyle w:val="Heading2"/>
        <w:keepNext/>
        <w:bidi/>
        <w:spacing w:after="120" w:before="240" w:line="360"/>
        <w:jc w:val="right"/>
      </w:pPr>
      <w:r>
        <w:rPr>
          <w:rFonts w:ascii="David" w:cs="David" w:eastAsia="David" w:hAnsi="David"/>
          <w:b/>
          <w:bCs/>
          <w:sz w:val="28"/>
          <w:szCs w:val="28"/>
          <w:rtl/>
        </w:rPr>
        <w:t xml:space="preserve">אוכלוסיית המחקר</w:t>
      </w:r>
    </w:p>
    <w:p>
      <w:pPr>
        <w:bidi/>
        <w:spacing w:after="120" w:line="360"/>
        <w:ind w:firstLine="567"/>
        <w:jc w:val="both"/>
      </w:pPr>
      <w:r>
        <w:rPr>
          <w:rFonts w:ascii="David" w:cs="David" w:eastAsia="David" w:hAnsi="David"/>
          <w:sz w:val="24"/>
          <w:szCs w:val="24"/>
          <w:rtl/>
        </w:rPr>
        <w:t xml:space="preserve">לוח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מציג את התפלגות סוג האסיר בקובץ המלא, שממנו נגזרה אוכלוסיית המחקר.</w:t>
      </w:r>
    </w:p>
    <w:p>
      <w:pPr>
        <w:keepNext/>
        <w:bidi/>
        <w:spacing w:after="80" w:before="200" w:line="360"/>
        <w:jc w:val="right"/>
      </w:pPr>
      <w:r>
        <w:rPr>
          <w:rFonts w:ascii="David" w:cs="David" w:eastAsia="David" w:hAnsi="David"/>
          <w:b/>
          <w:bCs/>
          <w:sz w:val="24"/>
          <w:szCs w:val="24"/>
          <w:rtl/>
        </w:rPr>
        <w:t xml:space="preserve">לוח </w:t>
      </w:r>
      <w:r>
        <w:rPr>
          <w:rFonts w:ascii="Times New Roman" w:cs="Times New Roman" w:eastAsia="Times New Roman" w:hAnsi="Times New Roman"/>
          <w:b/>
          <w:bCs/>
          <w:sz w:val="24"/>
          <w:szCs w:val="24"/>
        </w:rPr>
        <w:t xml:space="preserve">1</w:t>
      </w:r>
      <w:r>
        <w:rPr>
          <w:rFonts w:ascii="David" w:cs="David" w:eastAsia="David" w:hAnsi="David"/>
          <w:b/>
          <w:bCs/>
          <w:sz w:val="24"/>
          <w:szCs w:val="24"/>
          <w:rtl/>
        </w:rPr>
        <w:t xml:space="preserve">: התפלגות סוג האסיר בקובץ הסינתטי המלא</w:t>
      </w:r>
    </w:p>
    <w:tbl>
      <w:tblPr>
        <w:bidiVisual/>
        <w:tblW w:type="dxa" w:w="6400"/>
        <w:tblBorders>
          <w:top w:val="single" w:color="000000" w:sz="4"/>
          <w:left w:val="none" w:color="FFFFFF" w:sz="0"/>
          <w:bottom w:val="single" w:color="000000" w:sz="4"/>
          <w:right w:val="none" w:color="FFFFFF" w:sz="0"/>
          <w:insideH w:val="none" w:color="FFFFFF" w:sz="0"/>
          <w:insideV w:val="none" w:color="FFFFFF" w:sz="0"/>
        </w:tblBorders>
      </w:tblPr>
      <w:tblGrid>
        <w:gridCol w:w="3200"/>
        <w:gridCol w:w="1600"/>
        <w:gridCol w:w="1600"/>
      </w:tblGrid>
      <w:tr>
        <w:trPr>
          <w:cantSplit/>
          <w:tblHeader/>
        </w:trPr>
        <w:tc>
          <w:tcPr>
            <w:tcW w:type="dxa" w:w="3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סוג האסיר</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N</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עצורים פליליים</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1,411</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37.2</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שפוטים פליליים</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62.8</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סה"כ</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3,790</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100.0</w:t>
            </w:r>
          </w:p>
        </w:tc>
      </w:tr>
    </w:tbl>
    <w:p>
      <w:pPr>
        <w:bidi/>
        <w:spacing w:after="200" w:before="60" w:line="276"/>
        <w:jc w:val="right"/>
      </w:pPr>
    </w:p>
    <w:p>
      <w:pPr>
        <w:bidi/>
        <w:spacing w:after="120" w:line="360"/>
        <w:ind w:firstLine="567"/>
        <w:jc w:val="both"/>
      </w:pPr>
      <w:r>
        <w:rPr>
          <w:rFonts w:ascii="David" w:cs="David" w:eastAsia="David" w:hAnsi="David"/>
          <w:sz w:val="24"/>
          <w:szCs w:val="24"/>
          <w:rtl/>
        </w:rPr>
        <w:t xml:space="preserve">מלוח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עולה כי כמעט שני שלישים מהמשיבים הם שפוטים, בדומה לשיעור של </w:t>
      </w:r>
      <w:r>
        <w:rPr>
          <w:rFonts w:ascii="Times New Roman" w:cs="Times New Roman" w:eastAsia="Times New Roman" w:hAnsi="Times New Roman"/>
          <w:sz w:val="24"/>
          <w:szCs w:val="24"/>
        </w:rPr>
        <w:t xml:space="preserve">62.3</w:t>
      </w:r>
      <w:r>
        <w:rPr>
          <w:rFonts w:ascii="David" w:cs="David" w:eastAsia="David" w:hAnsi="David"/>
          <w:sz w:val="24"/>
          <w:szCs w:val="24"/>
          <w:rtl/>
        </w:rPr>
        <w:t xml:space="preserve"> אחוזים בסקר המקורי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כל הניתוחים מכאן ואילך נערכו על </w:t>
      </w:r>
      <w:r>
        <w:rPr>
          <w:rFonts w:ascii="Times New Roman" w:cs="Times New Roman" w:eastAsia="Times New Roman" w:hAnsi="Times New Roman"/>
          <w:sz w:val="24"/>
          <w:szCs w:val="24"/>
        </w:rPr>
        <w:t xml:space="preserve">2,379</w:t>
      </w:r>
      <w:r>
        <w:rPr>
          <w:rFonts w:ascii="David" w:cs="David" w:eastAsia="David" w:hAnsi="David"/>
          <w:sz w:val="24"/>
          <w:szCs w:val="24"/>
          <w:rtl/>
        </w:rPr>
        <w:t xml:space="preserve"> השפוטים בלבד. לוח </w:t>
      </w:r>
      <w:r>
        <w:rPr>
          <w:rFonts w:ascii="Times New Roman" w:cs="Times New Roman" w:eastAsia="Times New Roman" w:hAnsi="Times New Roman"/>
          <w:sz w:val="24"/>
          <w:szCs w:val="24"/>
        </w:rPr>
        <w:t xml:space="preserve">2</w:t>
      </w:r>
      <w:r>
        <w:rPr>
          <w:rFonts w:ascii="David" w:cs="David" w:eastAsia="David" w:hAnsi="David"/>
          <w:sz w:val="24"/>
          <w:szCs w:val="24"/>
          <w:rtl/>
        </w:rPr>
        <w:t xml:space="preserve"> מציג את מאפייני הרקע שלהם.</w:t>
      </w:r>
    </w:p>
    <w:p>
      <w:pPr>
        <w:keepNext/>
        <w:bidi/>
        <w:spacing w:after="80" w:before="200" w:line="360"/>
        <w:jc w:val="right"/>
      </w:pPr>
      <w:r>
        <w:rPr>
          <w:rFonts w:ascii="David" w:cs="David" w:eastAsia="David" w:hAnsi="David"/>
          <w:b/>
          <w:bCs/>
          <w:sz w:val="24"/>
          <w:szCs w:val="24"/>
          <w:rtl/>
        </w:rPr>
        <w:t xml:space="preserve">לוח </w:t>
      </w:r>
      <w:r>
        <w:rPr>
          <w:rFonts w:ascii="Times New Roman" w:cs="Times New Roman" w:eastAsia="Times New Roman" w:hAnsi="Times New Roman"/>
          <w:b/>
          <w:bCs/>
          <w:sz w:val="24"/>
          <w:szCs w:val="24"/>
        </w:rPr>
        <w:t xml:space="preserve">2</w:t>
      </w:r>
      <w:r>
        <w:rPr>
          <w:rFonts w:ascii="David" w:cs="David" w:eastAsia="David" w:hAnsi="David"/>
          <w:b/>
          <w:bCs/>
          <w:sz w:val="24"/>
          <w:szCs w:val="24"/>
          <w:rtl/>
        </w:rPr>
        <w:t xml:space="preserve">: מאפייני הרקע של השפוטים </w:t>
      </w:r>
      <w:r>
        <w:rPr>
          <w:rFonts w:ascii="Times New Roman" w:cs="Times New Roman" w:eastAsia="Times New Roman" w:hAnsi="Times New Roman"/>
          <w:b/>
          <w:bCs/>
          <w:sz w:val="24"/>
          <w:szCs w:val="24"/>
        </w:rPr>
        <w:t xml:space="preserve">(N = 2,379)</w:t>
      </w:r>
    </w:p>
    <w:tbl>
      <w:tblPr>
        <w:bidiVisual/>
        <w:tblW w:type="dxa" w:w="8000"/>
        <w:tblBorders>
          <w:top w:val="single" w:color="000000" w:sz="4"/>
          <w:left w:val="none" w:color="FFFFFF" w:sz="0"/>
          <w:bottom w:val="single" w:color="000000" w:sz="4"/>
          <w:right w:val="none" w:color="FFFFFF" w:sz="0"/>
          <w:insideH w:val="none" w:color="FFFFFF" w:sz="0"/>
          <w:insideV w:val="none" w:color="FFFFFF" w:sz="0"/>
        </w:tblBorders>
      </w:tblPr>
      <w:tblGrid>
        <w:gridCol w:w="2600"/>
        <w:gridCol w:w="2800"/>
        <w:gridCol w:w="1300"/>
        <w:gridCol w:w="1300"/>
      </w:tblGrid>
      <w:tr>
        <w:trPr>
          <w:cantSplit/>
          <w:tblHeader/>
        </w:trPr>
        <w:tc>
          <w:tcPr>
            <w:tcW w:type="dxa" w:w="2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משתנה</w:t>
            </w:r>
          </w:p>
        </w:tc>
        <w:tc>
          <w:tcPr>
            <w:tcW w:type="dxa" w:w="2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קטגוריה</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N</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מגדר</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גברים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2,302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96.8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נשים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77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לאום</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יהודים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1,136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47.8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לא יהודים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1,243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52.2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קבוצת גיל</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sz w:val="22"/>
                <w:szCs w:val="22"/>
              </w:rPr>
              <w:t xml:space="preserve">18</w:t>
            </w:r>
            <w:r>
              <w:rPr>
                <w:rFonts w:ascii="David" w:cs="David" w:eastAsia="David" w:hAnsi="David"/>
                <w:b w:val="false"/>
                <w:bCs w:val="false"/>
                <w:sz w:val="22"/>
                <w:szCs w:val="22"/>
                <w:rtl/>
              </w:rPr>
              <w:t xml:space="preserve"> עד </w:t>
            </w:r>
            <w:r>
              <w:rPr>
                <w:rFonts w:ascii="Times New Roman" w:cs="Times New Roman" w:eastAsia="Times New Roman" w:hAnsi="Times New Roman"/>
                <w:b w:val="false"/>
                <w:bCs w:val="false"/>
                <w:sz w:val="22"/>
                <w:szCs w:val="22"/>
              </w:rPr>
              <w:t xml:space="preserve">29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683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28.7</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sz w:val="22"/>
                <w:szCs w:val="22"/>
              </w:rPr>
              <w:t xml:space="preserve">30</w:t>
            </w:r>
            <w:r>
              <w:rPr>
                <w:rFonts w:ascii="David" w:cs="David" w:eastAsia="David" w:hAnsi="David"/>
                <w:b w:val="false"/>
                <w:bCs w:val="false"/>
                <w:sz w:val="22"/>
                <w:szCs w:val="22"/>
                <w:rtl/>
              </w:rPr>
              <w:t xml:space="preserve"> עד </w:t>
            </w:r>
            <w:r>
              <w:rPr>
                <w:rFonts w:ascii="Times New Roman" w:cs="Times New Roman" w:eastAsia="Times New Roman" w:hAnsi="Times New Roman"/>
                <w:b w:val="false"/>
                <w:bCs w:val="false"/>
                <w:sz w:val="22"/>
                <w:szCs w:val="22"/>
              </w:rPr>
              <w:t xml:space="preserve">39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734</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30.9</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sz w:val="22"/>
                <w:szCs w:val="22"/>
              </w:rPr>
              <w:t xml:space="preserve">40</w:t>
            </w:r>
            <w:r>
              <w:rPr>
                <w:rFonts w:ascii="David" w:cs="David" w:eastAsia="David" w:hAnsi="David"/>
                <w:b w:val="false"/>
                <w:bCs w:val="false"/>
                <w:sz w:val="22"/>
                <w:szCs w:val="22"/>
                <w:rtl/>
              </w:rPr>
              <w:t xml:space="preserve"> עד </w:t>
            </w:r>
            <w:r>
              <w:rPr>
                <w:rFonts w:ascii="Times New Roman" w:cs="Times New Roman" w:eastAsia="Times New Roman" w:hAnsi="Times New Roman"/>
                <w:b w:val="false"/>
                <w:bCs w:val="false"/>
                <w:sz w:val="22"/>
                <w:szCs w:val="22"/>
              </w:rPr>
              <w:t xml:space="preserve">59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847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35.6</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sz w:val="22"/>
                <w:szCs w:val="22"/>
              </w:rPr>
              <w:t xml:space="preserve">60</w:t>
            </w:r>
            <w:r>
              <w:rPr>
                <w:rFonts w:ascii="David" w:cs="David" w:eastAsia="David" w:hAnsi="David"/>
                <w:b w:val="false"/>
                <w:bCs w:val="false"/>
                <w:sz w:val="22"/>
                <w:szCs w:val="22"/>
                <w:rtl/>
              </w:rPr>
              <w:t xml:space="preserve"> ויותר</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מספר מאסרים כשפוט</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מאסר ראשון</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1,162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48.8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שני מאסרים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528</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22.2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שלושה ויותר</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689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29.0</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ותק באגף</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פחות משבוע</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2.4</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שבוע עד חודש</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219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9.2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חודש עד שלושה חודשים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480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20.2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מעל שלושה חודשים</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1,624</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68.3</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במסלול שיקום</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כן</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486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20.4</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לא</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1,893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79.6</w:t>
            </w:r>
          </w:p>
        </w:tc>
      </w:tr>
    </w:tbl>
    <w:p>
      <w:pPr>
        <w:bidi/>
        <w:spacing w:after="200" w:before="60" w:line="276"/>
        <w:jc w:val="right"/>
      </w:pPr>
    </w:p>
    <w:p>
      <w:pPr>
        <w:bidi/>
        <w:spacing w:after="120" w:line="360"/>
        <w:ind w:firstLine="567"/>
        <w:jc w:val="both"/>
      </w:pPr>
      <w:r>
        <w:rPr>
          <w:rFonts w:ascii="David" w:cs="David" w:eastAsia="David" w:hAnsi="David"/>
          <w:sz w:val="24"/>
          <w:szCs w:val="24"/>
          <w:rtl/>
        </w:rPr>
        <w:t xml:space="preserve">מלוח </w:t>
      </w:r>
      <w:r>
        <w:rPr>
          <w:rFonts w:ascii="Times New Roman" w:cs="Times New Roman" w:eastAsia="Times New Roman" w:hAnsi="Times New Roman"/>
          <w:sz w:val="24"/>
          <w:szCs w:val="24"/>
        </w:rPr>
        <w:t xml:space="preserve">2</w:t>
      </w:r>
      <w:r>
        <w:rPr>
          <w:rFonts w:ascii="David" w:cs="David" w:eastAsia="David" w:hAnsi="David"/>
          <w:sz w:val="24"/>
          <w:szCs w:val="24"/>
          <w:rtl/>
        </w:rPr>
        <w:t xml:space="preserve"> ניתן ללמוד כי אוכלוסיית השפוטים היא בעיקרה גברים בגילי </w:t>
      </w:r>
      <w:r>
        <w:rPr>
          <w:rFonts w:ascii="Times New Roman" w:cs="Times New Roman" w:eastAsia="Times New Roman" w:hAnsi="Times New Roman"/>
          <w:sz w:val="24"/>
          <w:szCs w:val="24"/>
        </w:rPr>
        <w:t xml:space="preserve">30</w:t>
      </w:r>
      <w:r>
        <w:rPr>
          <w:rFonts w:ascii="David" w:cs="David" w:eastAsia="David" w:hAnsi="David"/>
          <w:sz w:val="24"/>
          <w:szCs w:val="24"/>
          <w:rtl/>
        </w:rPr>
        <w:t xml:space="preserve"> עד </w:t>
      </w:r>
      <w:r>
        <w:rPr>
          <w:rFonts w:ascii="Times New Roman" w:cs="Times New Roman" w:eastAsia="Times New Roman" w:hAnsi="Times New Roman"/>
          <w:sz w:val="24"/>
          <w:szCs w:val="24"/>
        </w:rPr>
        <w:t xml:space="preserve">59,</w:t>
      </w:r>
      <w:r>
        <w:rPr>
          <w:rFonts w:ascii="David" w:cs="David" w:eastAsia="David" w:hAnsi="David"/>
          <w:sz w:val="24"/>
          <w:szCs w:val="24"/>
          <w:rtl/>
        </w:rPr>
        <w:t xml:space="preserve"> מחולקת כמעט שווה בשווה בין יהודים ללא יהודים. כמחצית השפוטים במאסרם הראשון, ולמעלה ממחציתם ריצו מאסר קודם. יותר משני שלישים שוהים באגף הנוכחי מעל שלושה חודשים, וכאחד מכל חמישה נמצא במסלול שיקום. חלוקה זו דומה לזו שדווחה בסקר המקורי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w:t>
      </w:r>
    </w:p>
    <w:p>
      <w:pPr>
        <w:pStyle w:val="Heading2"/>
        <w:keepNext/>
        <w:bidi/>
        <w:spacing w:after="120" w:before="240" w:line="360"/>
        <w:jc w:val="right"/>
      </w:pPr>
      <w:r>
        <w:rPr>
          <w:rFonts w:ascii="David" w:cs="David" w:eastAsia="David" w:hAnsi="David"/>
          <w:b/>
          <w:bCs/>
          <w:sz w:val="28"/>
          <w:szCs w:val="28"/>
          <w:rtl/>
        </w:rPr>
        <w:t xml:space="preserve">סטטיסטיקה תיאורית של הפריטים</w:t>
      </w:r>
    </w:p>
    <w:p>
      <w:pPr>
        <w:bidi/>
        <w:spacing w:after="120" w:line="360"/>
        <w:ind w:firstLine="567"/>
        <w:jc w:val="both"/>
      </w:pPr>
      <w:r>
        <w:rPr>
          <w:rFonts w:ascii="David" w:cs="David" w:eastAsia="David" w:hAnsi="David"/>
          <w:sz w:val="24"/>
          <w:szCs w:val="24"/>
          <w:rtl/>
        </w:rPr>
        <w:t xml:space="preserve">לוח </w:t>
      </w:r>
      <w:r>
        <w:rPr>
          <w:rFonts w:ascii="Times New Roman" w:cs="Times New Roman" w:eastAsia="Times New Roman" w:hAnsi="Times New Roman"/>
          <w:sz w:val="24"/>
          <w:szCs w:val="24"/>
        </w:rPr>
        <w:t xml:space="preserve">3</w:t>
      </w:r>
      <w:r>
        <w:rPr>
          <w:rFonts w:ascii="David" w:cs="David" w:eastAsia="David" w:hAnsi="David"/>
          <w:sz w:val="24"/>
          <w:szCs w:val="24"/>
          <w:rtl/>
        </w:rPr>
        <w:t xml:space="preserve"> מציג את הממוצעים, סטיות התקן ומדדי הצורה של שמונת הפריטים המרכיבים את שני הסולמות.</w:t>
      </w:r>
    </w:p>
    <w:p>
      <w:pPr>
        <w:keepNext/>
        <w:bidi/>
        <w:spacing w:after="80" w:before="200" w:line="360"/>
        <w:jc w:val="right"/>
      </w:pPr>
      <w:r>
        <w:rPr>
          <w:rFonts w:ascii="David" w:cs="David" w:eastAsia="David" w:hAnsi="David"/>
          <w:b/>
          <w:bCs/>
          <w:sz w:val="24"/>
          <w:szCs w:val="24"/>
          <w:rtl/>
        </w:rPr>
        <w:t xml:space="preserve">לוח </w:t>
      </w:r>
      <w:r>
        <w:rPr>
          <w:rFonts w:ascii="Times New Roman" w:cs="Times New Roman" w:eastAsia="Times New Roman" w:hAnsi="Times New Roman"/>
          <w:b/>
          <w:bCs/>
          <w:sz w:val="24"/>
          <w:szCs w:val="24"/>
        </w:rPr>
        <w:t xml:space="preserve">3</w:t>
      </w:r>
      <w:r>
        <w:rPr>
          <w:rFonts w:ascii="David" w:cs="David" w:eastAsia="David" w:hAnsi="David"/>
          <w:b/>
          <w:bCs/>
          <w:sz w:val="24"/>
          <w:szCs w:val="24"/>
          <w:rtl/>
        </w:rPr>
        <w:t xml:space="preserve">: סטטיסטיקה תיאורית של פריטי הלגיטימיות והרווחה הנפשית בקרב השפוטים</w:t>
      </w:r>
    </w:p>
    <w:tbl>
      <w:tblPr>
        <w:bidiVisual/>
        <w:tblW w:type="dxa" w:w="8400"/>
        <w:tblBorders>
          <w:top w:val="single" w:color="000000" w:sz="4"/>
          <w:left w:val="none" w:color="FFFFFF" w:sz="0"/>
          <w:bottom w:val="single" w:color="000000" w:sz="4"/>
          <w:right w:val="none" w:color="FFFFFF" w:sz="0"/>
          <w:insideH w:val="none" w:color="FFFFFF" w:sz="0"/>
          <w:insideV w:val="none" w:color="FFFFFF" w:sz="0"/>
        </w:tblBorders>
      </w:tblPr>
      <w:tblGrid>
        <w:gridCol w:w="4000"/>
        <w:gridCol w:w="1100"/>
        <w:gridCol w:w="1000"/>
        <w:gridCol w:w="1000"/>
        <w:gridCol w:w="1300"/>
      </w:tblGrid>
      <w:tr>
        <w:trPr>
          <w:cantSplit/>
          <w:tblHeader/>
        </w:trPr>
        <w:tc>
          <w:tcPr>
            <w:tcW w:type="dxa" w:w="4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פריט</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N</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SD</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אסימטריה</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אפשר לדבר עם הסוהרים אם מודאג או עצוב</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4.06</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-1.25</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הסוהרים מתייחסים אליי בכבוד</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2,306</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4.44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-1.67</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שביעות רצון מהטיפול בבקשות</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2,152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4.25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-1.58</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השתפרה מאז המאסר</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-1.14</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הגופנית טובה</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3.69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1.23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-0.66</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הנפשית טובה</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3.83</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1.20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-0.79</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תחושת שמחה בחודש האחרון</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3.58</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-0.55</w:t>
            </w:r>
          </w:p>
        </w:tc>
      </w:tr>
      <w:tr>
        <w:trPr>
          <w:cantSplit/>
        </w:trPr>
        <w:tc>
          <w:tcPr>
            <w:tcW w:type="dxa" w:w="4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שביעות רצון מהחיים בחודש האחרון</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3.75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-0.70</w:t>
            </w:r>
          </w:p>
        </w:tc>
      </w:tr>
    </w:tbl>
    <w:p>
      <w:pPr>
        <w:bidi/>
        <w:spacing w:after="200" w:before="60" w:line="276"/>
        <w:jc w:val="right"/>
      </w:pPr>
      <w:r>
        <w:rPr>
          <w:rFonts w:ascii="David" w:cs="David" w:eastAsia="David" w:hAnsi="David"/>
          <w:sz w:val="20"/>
          <w:szCs w:val="20"/>
          <w:rtl/>
        </w:rPr>
        <w:t xml:space="preserve">הערה. כל הפריטים נמדדו בסולם של </w:t>
      </w:r>
      <w:r>
        <w:rPr>
          <w:rFonts w:ascii="Times New Roman" w:cs="Times New Roman" w:eastAsia="Times New Roman" w:hAnsi="Times New Roman"/>
          <w:sz w:val="20"/>
          <w:szCs w:val="20"/>
        </w:rPr>
        <w:t xml:space="preserve">1</w:t>
      </w:r>
      <w:r>
        <w:rPr>
          <w:rFonts w:ascii="David" w:cs="David" w:eastAsia="David" w:hAnsi="David"/>
          <w:sz w:val="20"/>
          <w:szCs w:val="20"/>
          <w:rtl/>
        </w:rPr>
        <w:t xml:space="preserve"> עד </w:t>
      </w:r>
      <w:r>
        <w:rPr>
          <w:rFonts w:ascii="Times New Roman" w:cs="Times New Roman" w:eastAsia="Times New Roman" w:hAnsi="Times New Roman"/>
          <w:sz w:val="20"/>
          <w:szCs w:val="20"/>
        </w:rPr>
        <w:t xml:space="preserve">5.</w:t>
      </w:r>
      <w:r>
        <w:rPr>
          <w:rFonts w:ascii="David" w:cs="David" w:eastAsia="David" w:hAnsi="David"/>
          <w:sz w:val="20"/>
          <w:szCs w:val="20"/>
          <w:rtl/>
        </w:rPr>
        <w:t xml:space="preserve"> מקור: פלט </w:t>
      </w:r>
      <w:r>
        <w:rPr>
          <w:rFonts w:ascii="Times New Roman" w:cs="Times New Roman" w:eastAsia="Times New Roman" w:hAnsi="Times New Roman"/>
          <w:sz w:val="20"/>
          <w:szCs w:val="20"/>
        </w:rPr>
        <w:t xml:space="preserve">Frequencies</w:t>
      </w:r>
      <w:r>
        <w:rPr>
          <w:rFonts w:ascii="David" w:cs="David" w:eastAsia="David" w:hAnsi="David"/>
          <w:sz w:val="20"/>
          <w:szCs w:val="20"/>
          <w:rtl/>
        </w:rPr>
        <w:t xml:space="preserve">, נספח.</w:t>
      </w:r>
    </w:p>
    <w:p>
      <w:pPr>
        <w:bidi/>
        <w:spacing w:after="120" w:line="360"/>
        <w:ind w:firstLine="567"/>
        <w:jc w:val="both"/>
      </w:pPr>
      <w:r>
        <w:rPr>
          <w:rFonts w:ascii="David" w:cs="David" w:eastAsia="David" w:hAnsi="David"/>
          <w:sz w:val="24"/>
          <w:szCs w:val="24"/>
          <w:rtl/>
        </w:rPr>
        <w:t xml:space="preserve">מלוח </w:t>
      </w:r>
      <w:r>
        <w:rPr>
          <w:rFonts w:ascii="Times New Roman" w:cs="Times New Roman" w:eastAsia="Times New Roman" w:hAnsi="Times New Roman"/>
          <w:sz w:val="24"/>
          <w:szCs w:val="24"/>
        </w:rPr>
        <w:t xml:space="preserve">3</w:t>
      </w:r>
      <w:r>
        <w:rPr>
          <w:rFonts w:ascii="David" w:cs="David" w:eastAsia="David" w:hAnsi="David"/>
          <w:sz w:val="24"/>
          <w:szCs w:val="24"/>
          <w:rtl/>
        </w:rPr>
        <w:t xml:space="preserve"> עולה כי שלושת פריטי הלגיטימיות מקבלים ממוצעים גבוהים, והגבוה שבהם הוא היחס המכבד של הסוהרים (</w:t>
      </w:r>
      <w:r>
        <w:rPr>
          <w:rFonts w:ascii="Times New Roman" w:cs="Times New Roman" w:eastAsia="Times New Roman" w:hAnsi="Times New Roman"/>
          <w:sz w:val="24"/>
          <w:szCs w:val="24"/>
        </w:rPr>
        <w:t xml:space="preserve">4.44</w:t>
      </w:r>
      <w:r>
        <w:rPr>
          <w:rFonts w:ascii="David" w:cs="David" w:eastAsia="David" w:hAnsi="David"/>
          <w:sz w:val="24"/>
          <w:szCs w:val="24"/>
          <w:rtl/>
        </w:rPr>
        <w:t xml:space="preserve">). ההתפלגויות מוטות שמאלה, כלומר רוב השפוטים מרוכזים בקצה הגבוה של הסולם. פריטי הרווחה הנפשית נמוכים יותר ומפוזרים יותר: הנמוך שבהם הוא תחושת השמחה בחודש האחרון (</w:t>
      </w:r>
      <w:r>
        <w:rPr>
          <w:rFonts w:ascii="Times New Roman" w:cs="Times New Roman" w:eastAsia="Times New Roman" w:hAnsi="Times New Roman"/>
          <w:sz w:val="24"/>
          <w:szCs w:val="24"/>
        </w:rPr>
        <w:t xml:space="preserve">3.58</w:t>
      </w:r>
      <w:r>
        <w:rPr>
          <w:rFonts w:ascii="David" w:cs="David" w:eastAsia="David" w:hAnsi="David"/>
          <w:sz w:val="24"/>
          <w:szCs w:val="24"/>
          <w:rtl/>
        </w:rPr>
        <w:t xml:space="preserve">), ורק פריט אחד, השיפור בבריאות מאז המאסר, מתקרב לרמת פריטי הלגיטימיות. ממוצעים אלו קרובים מאוד לאלו שדווחו לאגפים הפליליים בסקר המקורי, שם נע ממוצע פריטי הלגיטימיות בין </w:t>
      </w:r>
      <w:r>
        <w:rPr>
          <w:rFonts w:ascii="Times New Roman" w:cs="Times New Roman" w:eastAsia="Times New Roman" w:hAnsi="Times New Roman"/>
          <w:sz w:val="24"/>
          <w:szCs w:val="24"/>
        </w:rPr>
        <w:t xml:space="preserve">4.0</w:t>
      </w:r>
      <w:r>
        <w:rPr>
          <w:rFonts w:ascii="David" w:cs="David" w:eastAsia="David" w:hAnsi="David"/>
          <w:sz w:val="24"/>
          <w:szCs w:val="24"/>
          <w:rtl/>
        </w:rPr>
        <w:t xml:space="preserve"> ל</w:t>
      </w:r>
      <w:r>
        <w:rPr>
          <w:rFonts w:ascii="Times New Roman" w:cs="Times New Roman" w:eastAsia="Times New Roman" w:hAnsi="Times New Roman"/>
          <w:sz w:val="24"/>
          <w:szCs w:val="24"/>
        </w:rPr>
        <w:t xml:space="preserve">-4.4</w:t>
      </w:r>
      <w:r>
        <w:rPr>
          <w:rFonts w:ascii="David" w:cs="David" w:eastAsia="David" w:hAnsi="David"/>
          <w:sz w:val="24"/>
          <w:szCs w:val="24"/>
          <w:rtl/>
        </w:rPr>
        <w:t xml:space="preserve"> וממוצע פריטי הבריאות והרווחה בין </w:t>
      </w:r>
      <w:r>
        <w:rPr>
          <w:rFonts w:ascii="Times New Roman" w:cs="Times New Roman" w:eastAsia="Times New Roman" w:hAnsi="Times New Roman"/>
          <w:sz w:val="24"/>
          <w:szCs w:val="24"/>
        </w:rPr>
        <w:t xml:space="preserve">3.6</w:t>
      </w:r>
      <w:r>
        <w:rPr>
          <w:rFonts w:ascii="David" w:cs="David" w:eastAsia="David" w:hAnsi="David"/>
          <w:sz w:val="24"/>
          <w:szCs w:val="24"/>
          <w:rtl/>
        </w:rPr>
        <w:t xml:space="preserve"> ל</w:t>
      </w:r>
      <w:r>
        <w:rPr>
          <w:rFonts w:ascii="Times New Roman" w:cs="Times New Roman" w:eastAsia="Times New Roman" w:hAnsi="Times New Roman"/>
          <w:sz w:val="24"/>
          <w:szCs w:val="24"/>
        </w:rPr>
        <w:t xml:space="preserve">-4.0</w:t>
      </w:r>
      <w:r>
        <w:rPr>
          <w:rFonts w:ascii="David" w:cs="David" w:eastAsia="David" w:hAnsi="David"/>
          <w:sz w:val="24"/>
          <w:szCs w:val="24"/>
          <w:rtl/>
        </w:rPr>
        <w:t xml:space="preserve">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לפריט הטיפול בבקשות </w:t>
      </w:r>
      <w:r>
        <w:rPr>
          <w:rFonts w:ascii="Times New Roman" w:cs="Times New Roman" w:eastAsia="Times New Roman" w:hAnsi="Times New Roman"/>
          <w:sz w:val="24"/>
          <w:szCs w:val="24"/>
        </w:rPr>
        <w:t xml:space="preserve">227</w:t>
      </w:r>
      <w:r>
        <w:rPr>
          <w:rFonts w:ascii="David" w:cs="David" w:eastAsia="David" w:hAnsi="David"/>
          <w:sz w:val="24"/>
          <w:szCs w:val="24"/>
          <w:rtl/>
        </w:rPr>
        <w:t xml:space="preserve"> ערכים חסרים, כנראה משום שלא כל השפוטים הגישו בקשות בתקופת ההתייחסות.</w:t>
      </w:r>
    </w:p>
    <w:p>
      <w:pPr>
        <w:pStyle w:val="Heading2"/>
        <w:keepNext/>
        <w:bidi/>
        <w:spacing w:after="120" w:before="240" w:line="360"/>
        <w:jc w:val="right"/>
      </w:pPr>
      <w:r>
        <w:rPr>
          <w:rFonts w:ascii="David" w:cs="David" w:eastAsia="David" w:hAnsi="David"/>
          <w:b/>
          <w:bCs/>
          <w:sz w:val="28"/>
          <w:szCs w:val="28"/>
          <w:rtl/>
        </w:rPr>
        <w:t xml:space="preserve">מהימנות הסולמות</w:t>
      </w:r>
    </w:p>
    <w:p>
      <w:pPr>
        <w:bidi/>
        <w:spacing w:after="120" w:line="360"/>
        <w:ind w:firstLine="567"/>
        <w:jc w:val="both"/>
      </w:pPr>
      <w:r>
        <w:rPr>
          <w:rFonts w:ascii="David" w:cs="David" w:eastAsia="David" w:hAnsi="David"/>
          <w:sz w:val="24"/>
          <w:szCs w:val="24"/>
          <w:rtl/>
        </w:rPr>
        <w:t xml:space="preserve">לוח </w:t>
      </w:r>
      <w:r>
        <w:rPr>
          <w:rFonts w:ascii="Times New Roman" w:cs="Times New Roman" w:eastAsia="Times New Roman" w:hAnsi="Times New Roman"/>
          <w:sz w:val="24"/>
          <w:szCs w:val="24"/>
        </w:rPr>
        <w:t xml:space="preserve">4</w:t>
      </w:r>
      <w:r>
        <w:rPr>
          <w:rFonts w:ascii="David" w:cs="David" w:eastAsia="David" w:hAnsi="David"/>
          <w:sz w:val="24"/>
          <w:szCs w:val="24"/>
          <w:rtl/>
        </w:rPr>
        <w:t xml:space="preserve"> מציג את הרכב שני הסולמות, מקדמי אלפא של קרונבך ומתאמי הפריט עם יתר הסולם.</w:t>
      </w:r>
    </w:p>
    <w:p>
      <w:pPr>
        <w:keepNext/>
        <w:bidi/>
        <w:spacing w:after="80" w:before="200" w:line="360"/>
        <w:jc w:val="right"/>
      </w:pPr>
      <w:r>
        <w:rPr>
          <w:rFonts w:ascii="David" w:cs="David" w:eastAsia="David" w:hAnsi="David"/>
          <w:b/>
          <w:bCs/>
          <w:sz w:val="24"/>
          <w:szCs w:val="24"/>
          <w:rtl/>
        </w:rPr>
        <w:t xml:space="preserve">לוח </w:t>
      </w:r>
      <w:r>
        <w:rPr>
          <w:rFonts w:ascii="Times New Roman" w:cs="Times New Roman" w:eastAsia="Times New Roman" w:hAnsi="Times New Roman"/>
          <w:b/>
          <w:bCs/>
          <w:sz w:val="24"/>
          <w:szCs w:val="24"/>
        </w:rPr>
        <w:t xml:space="preserve">4</w:t>
      </w:r>
      <w:r>
        <w:rPr>
          <w:rFonts w:ascii="David" w:cs="David" w:eastAsia="David" w:hAnsi="David"/>
          <w:b/>
          <w:bCs/>
          <w:sz w:val="24"/>
          <w:szCs w:val="24"/>
          <w:rtl/>
        </w:rPr>
        <w:t xml:space="preserve">: הרכב הסולמות ומהימנותם</w:t>
      </w:r>
    </w:p>
    <w:tbl>
      <w:tblPr>
        <w:bidiVisual/>
        <w:tblW w:type="dxa" w:w="8400"/>
        <w:tblBorders>
          <w:top w:val="single" w:color="000000" w:sz="4"/>
          <w:left w:val="none" w:color="FFFFFF" w:sz="0"/>
          <w:bottom w:val="single" w:color="000000" w:sz="4"/>
          <w:right w:val="none" w:color="FFFFFF" w:sz="0"/>
          <w:insideH w:val="none" w:color="FFFFFF" w:sz="0"/>
          <w:insideV w:val="none" w:color="FFFFFF" w:sz="0"/>
        </w:tblBorders>
      </w:tblPr>
      <w:tblGrid>
        <w:gridCol w:w="3900"/>
        <w:gridCol w:w="1700"/>
        <w:gridCol w:w="1500"/>
        <w:gridCol w:w="1300"/>
      </w:tblGrid>
      <w:tr>
        <w:trPr>
          <w:cantSplit/>
          <w:tblHeader/>
        </w:trPr>
        <w:tc>
          <w:tcPr>
            <w:tcW w:type="dxa" w:w="3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סולם ופריטים</w:t>
            </w:r>
          </w:p>
        </w:tc>
        <w:tc>
          <w:tcPr>
            <w:tcW w:type="dxa" w:w="1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מתאם פריט-סולם מתוקן</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α אם הפריט מוסר</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α של הסולם</w:t>
            </w: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לגיטימיות הסגל (</w:t>
            </w:r>
            <w:r>
              <w:rPr>
                <w:rFonts w:ascii="Times New Roman" w:cs="Times New Roman" w:eastAsia="Times New Roman" w:hAnsi="Times New Roman"/>
                <w:b w:val="false"/>
                <w:bCs w:val="false"/>
                <w:sz w:val="22"/>
                <w:szCs w:val="22"/>
              </w:rPr>
              <w:t xml:space="preserve">3</w:t>
            </w:r>
            <w:r>
              <w:rPr>
                <w:rFonts w:ascii="David" w:cs="David" w:eastAsia="David" w:hAnsi="David"/>
                <w:b w:val="false"/>
                <w:bCs w:val="false"/>
                <w:sz w:val="22"/>
                <w:szCs w:val="22"/>
                <w:rtl/>
              </w:rPr>
              <w:t xml:space="preserve"> פריטים, </w:t>
            </w:r>
            <w:r>
              <w:rPr>
                <w:rFonts w:ascii="Times New Roman" w:cs="Times New Roman" w:eastAsia="Times New Roman" w:hAnsi="Times New Roman"/>
                <w:b w:val="false"/>
                <w:bCs w:val="false"/>
                <w:sz w:val="22"/>
                <w:szCs w:val="22"/>
              </w:rPr>
              <w:t xml:space="preserve">n = 2,114</w:t>
            </w:r>
            <w:r>
              <w:rPr>
                <w:rFonts w:ascii="David" w:cs="David" w:eastAsia="David" w:hAnsi="David"/>
                <w:b w:val="false"/>
                <w:bCs w:val="false"/>
                <w:sz w:val="22"/>
                <w:szCs w:val="22"/>
                <w:rtl/>
              </w:rPr>
              <w:t xml:space="preserve">)</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0.67</w:t>
            </w: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אפשר לדבר עם הסוהרים אם מודאג או עצוב</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0.51</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הסוהרים מתייחסים אליי בכבוד</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שביעות רצון מהטיפול בבקשות</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0.40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רווחה נפשית (</w:t>
            </w:r>
            <w:r>
              <w:rPr>
                <w:rFonts w:ascii="Times New Roman" w:cs="Times New Roman" w:eastAsia="Times New Roman" w:hAnsi="Times New Roman"/>
                <w:b w:val="false"/>
                <w:bCs w:val="false"/>
                <w:sz w:val="22"/>
                <w:szCs w:val="22"/>
              </w:rPr>
              <w:t xml:space="preserve">5</w:t>
            </w:r>
            <w:r>
              <w:rPr>
                <w:rFonts w:ascii="David" w:cs="David" w:eastAsia="David" w:hAnsi="David"/>
                <w:b w:val="false"/>
                <w:bCs w:val="false"/>
                <w:sz w:val="22"/>
                <w:szCs w:val="22"/>
                <w:rtl/>
              </w:rPr>
              <w:t xml:space="preserve"> פריטים, </w:t>
            </w:r>
            <w:r>
              <w:rPr>
                <w:rFonts w:ascii="Times New Roman" w:cs="Times New Roman" w:eastAsia="Times New Roman" w:hAnsi="Times New Roman"/>
                <w:b w:val="false"/>
                <w:bCs w:val="false"/>
                <w:sz w:val="22"/>
                <w:szCs w:val="22"/>
              </w:rPr>
              <w:t xml:space="preserve">n = 2,379</w:t>
            </w:r>
            <w:r>
              <w:rPr>
                <w:rFonts w:ascii="David" w:cs="David" w:eastAsia="David" w:hAnsi="David"/>
                <w:b w:val="false"/>
                <w:bCs w:val="false"/>
                <w:sz w:val="22"/>
                <w:szCs w:val="22"/>
                <w:rtl/>
              </w:rPr>
              <w:t xml:space="preserve">)</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0.81</w:t>
            </w: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השתפרה מאז המאסר</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0.47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הגופנית טובה</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0.63</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הנפשית טובה</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0.68</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0.74</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תחושת שמחה בחודש האחרון</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0.62</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שביעות רצון מהחיים בחודש האחרון</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0.54</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0.78</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bl>
    <w:p>
      <w:pPr>
        <w:bidi/>
        <w:spacing w:after="200" w:before="60" w:line="276"/>
        <w:jc w:val="right"/>
      </w:pPr>
      <w:r>
        <w:rPr>
          <w:rFonts w:ascii="David" w:cs="David" w:eastAsia="David" w:hAnsi="David"/>
          <w:sz w:val="20"/>
          <w:szCs w:val="20"/>
          <w:rtl/>
        </w:rPr>
        <w:t xml:space="preserve">הערה. מתאמים בין פריטי הלגיטימיות: </w:t>
      </w:r>
      <w:r>
        <w:rPr>
          <w:rFonts w:ascii="Times New Roman" w:cs="Times New Roman" w:eastAsia="Times New Roman" w:hAnsi="Times New Roman"/>
          <w:sz w:val="20"/>
          <w:szCs w:val="20"/>
        </w:rPr>
        <w:t xml:space="preserve">0.55</w:t>
      </w:r>
      <w:r>
        <w:rPr>
          <w:rFonts w:ascii="David" w:cs="David" w:eastAsia="David" w:hAnsi="David"/>
          <w:sz w:val="20"/>
          <w:szCs w:val="20"/>
          <w:rtl/>
        </w:rPr>
        <w:t xml:space="preserve"> (דיבור עם סוהרים וכבוד), </w:t>
      </w:r>
      <w:r>
        <w:rPr>
          <w:rFonts w:ascii="Times New Roman" w:cs="Times New Roman" w:eastAsia="Times New Roman" w:hAnsi="Times New Roman"/>
          <w:sz w:val="20"/>
          <w:szCs w:val="20"/>
        </w:rPr>
        <w:t xml:space="preserve">0.33</w:t>
      </w:r>
      <w:r>
        <w:rPr>
          <w:rFonts w:ascii="David" w:cs="David" w:eastAsia="David" w:hAnsi="David"/>
          <w:sz w:val="20"/>
          <w:szCs w:val="20"/>
          <w:rtl/>
        </w:rPr>
        <w:t xml:space="preserve"> (דיבור ובקשות), </w:t>
      </w:r>
      <w:r>
        <w:rPr>
          <w:rFonts w:ascii="Times New Roman" w:cs="Times New Roman" w:eastAsia="Times New Roman" w:hAnsi="Times New Roman"/>
          <w:sz w:val="20"/>
          <w:szCs w:val="20"/>
        </w:rPr>
        <w:t xml:space="preserve">0.37</w:t>
      </w:r>
      <w:r>
        <w:rPr>
          <w:rFonts w:ascii="David" w:cs="David" w:eastAsia="David" w:hAnsi="David"/>
          <w:sz w:val="20"/>
          <w:szCs w:val="20"/>
          <w:rtl/>
        </w:rPr>
        <w:t xml:space="preserve"> (כבוד ובקשות). מקור: פלט </w:t>
      </w:r>
      <w:r>
        <w:rPr>
          <w:rFonts w:ascii="Times New Roman" w:cs="Times New Roman" w:eastAsia="Times New Roman" w:hAnsi="Times New Roman"/>
          <w:sz w:val="20"/>
          <w:szCs w:val="20"/>
        </w:rPr>
        <w:t xml:space="preserve">Reliability</w:t>
      </w:r>
      <w:r>
        <w:rPr>
          <w:rFonts w:ascii="David" w:cs="David" w:eastAsia="David" w:hAnsi="David"/>
          <w:sz w:val="20"/>
          <w:szCs w:val="20"/>
          <w:rtl/>
        </w:rPr>
        <w:t xml:space="preserve">, נספח.</w:t>
      </w:r>
    </w:p>
    <w:p>
      <w:pPr>
        <w:bidi/>
        <w:spacing w:after="120" w:line="360"/>
        <w:ind w:firstLine="567"/>
        <w:jc w:val="both"/>
      </w:pPr>
      <w:r>
        <w:rPr>
          <w:rFonts w:ascii="David" w:cs="David" w:eastAsia="David" w:hAnsi="David"/>
          <w:sz w:val="24"/>
          <w:szCs w:val="24"/>
          <w:rtl/>
        </w:rPr>
        <w:t xml:space="preserve">מלוח </w:t>
      </w:r>
      <w:r>
        <w:rPr>
          <w:rFonts w:ascii="Times New Roman" w:cs="Times New Roman" w:eastAsia="Times New Roman" w:hAnsi="Times New Roman"/>
          <w:sz w:val="24"/>
          <w:szCs w:val="24"/>
        </w:rPr>
        <w:t xml:space="preserve">4</w:t>
      </w:r>
      <w:r>
        <w:rPr>
          <w:rFonts w:ascii="David" w:cs="David" w:eastAsia="David" w:hAnsi="David"/>
          <w:sz w:val="24"/>
          <w:szCs w:val="24"/>
          <w:rtl/>
        </w:rPr>
        <w:t xml:space="preserve"> ניתן ללמוד כי סולם הרווחה הנפשית מהימן (α = </w:t>
      </w:r>
      <w:r>
        <w:rPr>
          <w:rFonts w:ascii="Times New Roman" w:cs="Times New Roman" w:eastAsia="Times New Roman" w:hAnsi="Times New Roman"/>
          <w:sz w:val="24"/>
          <w:szCs w:val="24"/>
        </w:rPr>
        <w:t xml:space="preserve">0.81</w:t>
      </w:r>
      <w:r>
        <w:rPr>
          <w:rFonts w:ascii="David" w:cs="David" w:eastAsia="David" w:hAnsi="David"/>
          <w:sz w:val="24"/>
          <w:szCs w:val="24"/>
          <w:rtl/>
        </w:rPr>
        <w:t xml:space="preserve">), וכל פריט תורם לו: הסרת כל אחד מהפריטים הייתה מורידה את המהימנות. מהימנות סולם הלגיטימיות (α = </w:t>
      </w:r>
      <w:r>
        <w:rPr>
          <w:rFonts w:ascii="Times New Roman" w:cs="Times New Roman" w:eastAsia="Times New Roman" w:hAnsi="Times New Roman"/>
          <w:sz w:val="24"/>
          <w:szCs w:val="24"/>
        </w:rPr>
        <w:t xml:space="preserve">0.67</w:t>
      </w:r>
      <w:r>
        <w:rPr>
          <w:rFonts w:ascii="David" w:cs="David" w:eastAsia="David" w:hAnsi="David"/>
          <w:sz w:val="24"/>
          <w:szCs w:val="24"/>
          <w:rtl/>
        </w:rPr>
        <w:t xml:space="preserve">) נמוכה מעט מהסף המקובל של </w:t>
      </w:r>
      <w:r>
        <w:rPr>
          <w:rFonts w:ascii="Times New Roman" w:cs="Times New Roman" w:eastAsia="Times New Roman" w:hAnsi="Times New Roman"/>
          <w:sz w:val="24"/>
          <w:szCs w:val="24"/>
        </w:rPr>
        <w:t xml:space="preserve">0.70,</w:t>
      </w:r>
      <w:r>
        <w:rPr>
          <w:rFonts w:ascii="David" w:cs="David" w:eastAsia="David" w:hAnsi="David"/>
          <w:sz w:val="24"/>
          <w:szCs w:val="24"/>
          <w:rtl/>
        </w:rPr>
        <w:t xml:space="preserve"> אך זהה למהימנות שדווחה לקובץ הסינתטי וקרובה ל</w:t>
      </w:r>
      <w:r>
        <w:rPr>
          <w:rFonts w:ascii="Times New Roman" w:cs="Times New Roman" w:eastAsia="Times New Roman" w:hAnsi="Times New Roman"/>
          <w:sz w:val="24"/>
          <w:szCs w:val="24"/>
        </w:rPr>
        <w:t xml:space="preserve">-0.72</w:t>
      </w:r>
      <w:r>
        <w:rPr>
          <w:rFonts w:ascii="David" w:cs="David" w:eastAsia="David" w:hAnsi="David"/>
          <w:sz w:val="24"/>
          <w:szCs w:val="24"/>
          <w:rtl/>
        </w:rPr>
        <w:t xml:space="preserve"> שנמצאה בסקר המקורי (ועקנין, </w:t>
      </w:r>
      <w:r>
        <w:rPr>
          <w:rFonts w:ascii="Times New Roman" w:cs="Times New Roman" w:eastAsia="Times New Roman" w:hAnsi="Times New Roman"/>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 לסולם שלושה פריטים בלבד, ומקדם אלפא רגיש למספר הפריטים. שני הפריטים העוסקים ביחס הישיר של הסוהרים, האפשרות לדבר איתם והיחס המכבד, קשורים זה לזה בחוזקה (</w:t>
      </w:r>
      <w:r>
        <w:rPr>
          <w:rFonts w:ascii="Times New Roman" w:cs="Times New Roman" w:eastAsia="Times New Roman" w:hAnsi="Times New Roman"/>
          <w:sz w:val="24"/>
          <w:szCs w:val="24"/>
        </w:rPr>
        <w:t xml:space="preserve">0.55</w:t>
      </w:r>
      <w:r>
        <w:rPr>
          <w:rFonts w:ascii="David" w:cs="David" w:eastAsia="David" w:hAnsi="David"/>
          <w:sz w:val="24"/>
          <w:szCs w:val="24"/>
          <w:rtl/>
        </w:rPr>
        <w:t xml:space="preserve">), ואילו פריט הטיפול בבקשות קשור אליהם פחות, והסרתו הייתה מעלה את האלפא ל</w:t>
      </w:r>
      <w:r>
        <w:rPr>
          <w:rFonts w:ascii="Times New Roman" w:cs="Times New Roman" w:eastAsia="Times New Roman" w:hAnsi="Times New Roman"/>
          <w:sz w:val="24"/>
          <w:szCs w:val="24"/>
        </w:rPr>
        <w:t xml:space="preserve">-0.69.</w:t>
      </w:r>
      <w:r>
        <w:rPr>
          <w:rFonts w:ascii="David" w:cs="David" w:eastAsia="David" w:hAnsi="David"/>
          <w:sz w:val="24"/>
          <w:szCs w:val="24"/>
          <w:rtl/>
        </w:rPr>
        <w:t xml:space="preserve"> הוחלט להשאירו, משום שהטיפול בבקשות הוא ליבת ההוגנות הפרוצדורלית במודל של טיילר </w:t>
      </w:r>
      <w:r>
        <w:rPr>
          <w:rFonts w:ascii="Times New Roman" w:cs="Times New Roman" w:eastAsia="Times New Roman" w:hAnsi="Times New Roman"/>
          <w:sz w:val="24"/>
          <w:szCs w:val="24"/>
        </w:rPr>
        <w:t xml:space="preserve">(Tyler, 1990)</w:t>
      </w:r>
      <w:r>
        <w:rPr>
          <w:rFonts w:ascii="David" w:cs="David" w:eastAsia="David" w:hAnsi="David"/>
          <w:sz w:val="24"/>
          <w:szCs w:val="24"/>
          <w:rtl/>
        </w:rPr>
        <w:t xml:space="preserve"> ומשום שכך נבנה הסולם בפרסום המקורי.</w:t>
      </w:r>
    </w:p>
    <w:p>
      <w:pPr>
        <w:pStyle w:val="Heading2"/>
        <w:keepNext/>
        <w:bidi/>
        <w:spacing w:after="120" w:before="240" w:line="360"/>
        <w:jc w:val="right"/>
      </w:pPr>
      <w:r>
        <w:rPr>
          <w:rFonts w:ascii="David" w:cs="David" w:eastAsia="David" w:hAnsi="David"/>
          <w:b/>
          <w:bCs/>
          <w:sz w:val="28"/>
          <w:szCs w:val="28"/>
          <w:rtl/>
        </w:rPr>
        <w:t xml:space="preserve">ממוצעי הסולמות</w:t>
      </w:r>
    </w:p>
    <w:p>
      <w:pPr>
        <w:bidi/>
        <w:spacing w:after="120" w:line="360"/>
        <w:ind w:firstLine="567"/>
        <w:jc w:val="both"/>
      </w:pPr>
      <w:r>
        <w:rPr>
          <w:rFonts w:ascii="David" w:cs="David" w:eastAsia="David" w:hAnsi="David"/>
          <w:sz w:val="24"/>
          <w:szCs w:val="24"/>
          <w:rtl/>
        </w:rPr>
        <w:t xml:space="preserve">לוח </w:t>
      </w:r>
      <w:r>
        <w:rPr>
          <w:rFonts w:ascii="Times New Roman" w:cs="Times New Roman" w:eastAsia="Times New Roman" w:hAnsi="Times New Roman"/>
          <w:sz w:val="24"/>
          <w:szCs w:val="24"/>
        </w:rPr>
        <w:t xml:space="preserve">5</w:t>
      </w:r>
      <w:r>
        <w:rPr>
          <w:rFonts w:ascii="David" w:cs="David" w:eastAsia="David" w:hAnsi="David"/>
          <w:sz w:val="24"/>
          <w:szCs w:val="24"/>
          <w:rtl/>
        </w:rPr>
        <w:t xml:space="preserve"> מציג את הסטטיסטיקה התיאורית של שני ציוני הסולמות.</w:t>
      </w:r>
    </w:p>
    <w:p>
      <w:pPr>
        <w:keepNext/>
        <w:bidi/>
        <w:spacing w:after="80" w:before="200" w:line="360"/>
        <w:jc w:val="right"/>
      </w:pPr>
      <w:r>
        <w:rPr>
          <w:rFonts w:ascii="David" w:cs="David" w:eastAsia="David" w:hAnsi="David"/>
          <w:b/>
          <w:bCs/>
          <w:sz w:val="24"/>
          <w:szCs w:val="24"/>
          <w:rtl/>
        </w:rPr>
        <w:t xml:space="preserve">לוח </w:t>
      </w:r>
      <w:r>
        <w:rPr>
          <w:rFonts w:ascii="Times New Roman" w:cs="Times New Roman" w:eastAsia="Times New Roman" w:hAnsi="Times New Roman"/>
          <w:b/>
          <w:bCs/>
          <w:sz w:val="24"/>
          <w:szCs w:val="24"/>
        </w:rPr>
        <w:t xml:space="preserve">5</w:t>
      </w:r>
      <w:r>
        <w:rPr>
          <w:rFonts w:ascii="David" w:cs="David" w:eastAsia="David" w:hAnsi="David"/>
          <w:b/>
          <w:bCs/>
          <w:sz w:val="24"/>
          <w:szCs w:val="24"/>
          <w:rtl/>
        </w:rPr>
        <w:t xml:space="preserve">: סטטיסטיקה תיאורית של ציוני הלגיטימיות והרווחה הנפשית (שפוטים)</w:t>
      </w:r>
    </w:p>
    <w:tbl>
      <w:tblPr>
        <w:bidiVisual/>
        <w:tblW w:type="dxa" w:w="8800"/>
        <w:tblBorders>
          <w:top w:val="single" w:color="000000" w:sz="4"/>
          <w:left w:val="none" w:color="FFFFFF" w:sz="0"/>
          <w:bottom w:val="single" w:color="000000" w:sz="4"/>
          <w:right w:val="none" w:color="FFFFFF" w:sz="0"/>
          <w:insideH w:val="none" w:color="FFFFFF" w:sz="0"/>
          <w:insideV w:val="none" w:color="FFFFFF" w:sz="0"/>
        </w:tblBorders>
      </w:tblPr>
      <w:tblGrid>
        <w:gridCol w:w="2400"/>
        <w:gridCol w:w="1000"/>
        <w:gridCol w:w="900"/>
        <w:gridCol w:w="900"/>
        <w:gridCol w:w="1200"/>
        <w:gridCol w:w="1200"/>
        <w:gridCol w:w="1200"/>
      </w:tblGrid>
      <w:tr>
        <w:trPr>
          <w:cantSplit/>
          <w:tblHeader/>
        </w:trPr>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משתנה</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N</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SD</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טווח</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אסימטריה</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גבנוניות</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לגיטימיות הסגל</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2,344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4.24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sz w:val="22"/>
                <w:szCs w:val="22"/>
              </w:rPr>
              <w:t xml:space="preserve">1</w:t>
            </w:r>
            <w:r>
              <w:rPr>
                <w:rFonts w:ascii="David" w:cs="David" w:eastAsia="David" w:hAnsi="David"/>
                <w:b w:val="false"/>
                <w:bCs w:val="false"/>
                <w:sz w:val="22"/>
                <w:szCs w:val="22"/>
                <w:rtl/>
              </w:rPr>
              <w:t xml:space="preserve"> עד </w:t>
            </w:r>
            <w:r>
              <w:rPr>
                <w:rFonts w:ascii="Times New Roman" w:cs="Times New Roman" w:eastAsia="Times New Roman" w:hAnsi="Times New Roman"/>
                <w:b w:val="false"/>
                <w:bCs w:val="false"/>
                <w:sz w:val="22"/>
                <w:szCs w:val="22"/>
              </w:rPr>
              <w:t xml:space="preserve">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-1.16</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0.94</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רווחה נפשית</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3.78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0.87</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sz w:val="22"/>
                <w:szCs w:val="22"/>
              </w:rPr>
              <w:t xml:space="preserve">1</w:t>
            </w:r>
            <w:r>
              <w:rPr>
                <w:rFonts w:ascii="David" w:cs="David" w:eastAsia="David" w:hAnsi="David"/>
                <w:b w:val="false"/>
                <w:bCs w:val="false"/>
                <w:sz w:val="22"/>
                <w:szCs w:val="22"/>
                <w:rtl/>
              </w:rPr>
              <w:t xml:space="preserve"> עד </w:t>
            </w:r>
            <w:r>
              <w:rPr>
                <w:rFonts w:ascii="Times New Roman" w:cs="Times New Roman" w:eastAsia="Times New Roman" w:hAnsi="Times New Roman"/>
                <w:b w:val="false"/>
                <w:bCs w:val="false"/>
                <w:sz w:val="22"/>
                <w:szCs w:val="22"/>
              </w:rPr>
              <w:t xml:space="preserve">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-0.01</w:t>
            </w:r>
          </w:p>
        </w:tc>
      </w:tr>
    </w:tbl>
    <w:p>
      <w:pPr>
        <w:bidi/>
        <w:spacing w:after="200" w:before="60" w:line="276"/>
        <w:jc w:val="right"/>
      </w:pPr>
      <w:r>
        <w:rPr>
          <w:rFonts w:ascii="David" w:cs="David" w:eastAsia="David" w:hAnsi="David"/>
          <w:sz w:val="20"/>
          <w:szCs w:val="20"/>
          <w:rtl/>
        </w:rPr>
        <w:t xml:space="preserve">הערה. מבחני קולמוגורוב-סמירנוב ושפירו-וילק מובהקים לשני המשתנים </w:t>
      </w:r>
      <w:r>
        <w:rPr>
          <w:rFonts w:ascii="Times New Roman" w:cs="Times New Roman" w:eastAsia="Times New Roman" w:hAnsi="Times New Roman"/>
          <w:sz w:val="20"/>
          <w:szCs w:val="20"/>
        </w:rPr>
        <w:t xml:space="preserve">(p &lt; 0.001)</w:t>
      </w:r>
      <w:r>
        <w:rPr>
          <w:rFonts w:ascii="David" w:cs="David" w:eastAsia="David" w:hAnsi="David"/>
          <w:sz w:val="20"/>
          <w:szCs w:val="20"/>
          <w:rtl/>
        </w:rPr>
        <w:t xml:space="preserve">. מקור: פלטי </w:t>
      </w:r>
      <w:r>
        <w:rPr>
          <w:rFonts w:ascii="Times New Roman" w:cs="Times New Roman" w:eastAsia="Times New Roman" w:hAnsi="Times New Roman"/>
          <w:sz w:val="20"/>
          <w:szCs w:val="20"/>
        </w:rPr>
        <w:t xml:space="preserve">Descriptives</w:t>
      </w:r>
      <w:r>
        <w:rPr>
          <w:rFonts w:ascii="David" w:cs="David" w:eastAsia="David" w:hAnsi="David"/>
          <w:sz w:val="20"/>
          <w:szCs w:val="20"/>
          <w:rtl/>
        </w:rPr>
        <w:t xml:space="preserve"> ו-</w:t>
      </w:r>
      <w:r>
        <w:rPr>
          <w:rFonts w:ascii="Times New Roman" w:cs="Times New Roman" w:eastAsia="Times New Roman" w:hAnsi="Times New Roman"/>
          <w:sz w:val="20"/>
          <w:szCs w:val="20"/>
        </w:rPr>
        <w:t xml:space="preserve">Explore</w:t>
      </w:r>
      <w:r>
        <w:rPr>
          <w:rFonts w:ascii="David" w:cs="David" w:eastAsia="David" w:hAnsi="David"/>
          <w:sz w:val="20"/>
          <w:szCs w:val="20"/>
          <w:rtl/>
        </w:rPr>
        <w:t xml:space="preserve">, נספח.</w:t>
      </w:r>
    </w:p>
    <w:p>
      <w:pPr>
        <w:bidi/>
        <w:spacing w:after="120" w:line="360"/>
        <w:ind w:firstLine="567"/>
        <w:jc w:val="both"/>
      </w:pPr>
      <w:r>
        <w:rPr>
          <w:rFonts w:ascii="David" w:cs="David" w:eastAsia="David" w:hAnsi="David"/>
          <w:sz w:val="24"/>
          <w:szCs w:val="24"/>
          <w:rtl/>
        </w:rPr>
        <w:t xml:space="preserve">מלוח </w:t>
      </w:r>
      <w:r>
        <w:rPr>
          <w:rFonts w:ascii="Times New Roman" w:cs="Times New Roman" w:eastAsia="Times New Roman" w:hAnsi="Times New Roman"/>
          <w:sz w:val="24"/>
          <w:szCs w:val="24"/>
        </w:rPr>
        <w:t xml:space="preserve">5</w:t>
      </w:r>
      <w:r>
        <w:rPr>
          <w:rFonts w:ascii="David" w:cs="David" w:eastAsia="David" w:hAnsi="David"/>
          <w:sz w:val="24"/>
          <w:szCs w:val="24"/>
          <w:rtl/>
        </w:rPr>
        <w:t xml:space="preserve"> עולה כי ממוצע הלגיטימיות (</w:t>
      </w:r>
      <w:r>
        <w:rPr>
          <w:rFonts w:ascii="Times New Roman" w:cs="Times New Roman" w:eastAsia="Times New Roman" w:hAnsi="Times New Roman"/>
          <w:sz w:val="24"/>
          <w:szCs w:val="24"/>
        </w:rPr>
        <w:t xml:space="preserve">4.24</w:t>
      </w:r>
      <w:r>
        <w:rPr>
          <w:rFonts w:ascii="David" w:cs="David" w:eastAsia="David" w:hAnsi="David"/>
          <w:sz w:val="24"/>
          <w:szCs w:val="24"/>
          <w:rtl/>
        </w:rPr>
        <w:t xml:space="preserve">) גבוה ומתקרב לתקרת הסולם, בעוד ממוצע הרווחה הנפשית (</w:t>
      </w:r>
      <w:r>
        <w:rPr>
          <w:rFonts w:ascii="Times New Roman" w:cs="Times New Roman" w:eastAsia="Times New Roman" w:hAnsi="Times New Roman"/>
          <w:sz w:val="24"/>
          <w:szCs w:val="24"/>
        </w:rPr>
        <w:t xml:space="preserve">3.78</w:t>
      </w:r>
      <w:r>
        <w:rPr>
          <w:rFonts w:ascii="David" w:cs="David" w:eastAsia="David" w:hAnsi="David"/>
          <w:sz w:val="24"/>
          <w:szCs w:val="24"/>
          <w:rtl/>
        </w:rPr>
        <w:t xml:space="preserve">) נמוך ממנו כמעט בחצי נקודה, וסטיות התקן דומות. הממוצעים קרובים לאלו שדווחו לשפוטים בסקר המקורי, </w:t>
      </w:r>
      <w:r>
        <w:rPr>
          <w:rFonts w:ascii="Times New Roman" w:cs="Times New Roman" w:eastAsia="Times New Roman" w:hAnsi="Times New Roman"/>
          <w:sz w:val="24"/>
          <w:szCs w:val="24"/>
        </w:rPr>
        <w:t xml:space="preserve">4.28</w:t>
      </w:r>
      <w:r>
        <w:rPr>
          <w:rFonts w:ascii="David" w:cs="David" w:eastAsia="David" w:hAnsi="David"/>
          <w:sz w:val="24"/>
          <w:szCs w:val="24"/>
          <w:rtl/>
        </w:rPr>
        <w:t xml:space="preserve"> ללגיטימיות ו</w:t>
      </w:r>
      <w:r>
        <w:rPr>
          <w:rFonts w:ascii="Times New Roman" w:cs="Times New Roman" w:eastAsia="Times New Roman" w:hAnsi="Times New Roman"/>
          <w:sz w:val="24"/>
          <w:szCs w:val="24"/>
        </w:rPr>
        <w:t xml:space="preserve">-3.84</w:t>
      </w:r>
      <w:r>
        <w:rPr>
          <w:rFonts w:ascii="David" w:cs="David" w:eastAsia="David" w:hAnsi="David"/>
          <w:sz w:val="24"/>
          <w:szCs w:val="24"/>
          <w:rtl/>
        </w:rPr>
        <w:t xml:space="preserve"> לבריאות ולרווחה נפשית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התפלגות הלגיטימיות מוטה שמאלה באופן ניכר, ושני מבחני הנורמליות מובהקים. בשל גודל המדגם מבחנים אלו רגישים גם לסטיות קטנות, ומקדמי הצורה נמצאים בטווח שבו מתאם פירסון ורגרסיה ליניארית עדיין תקפים, אך כדי להיות בטוחות חושב לצד מתאם פירסון גם מתאם ספירמן.</w:t>
      </w:r>
    </w:p>
    <w:p>
      <w:pPr>
        <w:pStyle w:val="Heading2"/>
        <w:keepNext/>
        <w:bidi/>
        <w:spacing w:after="120" w:before="240" w:line="360"/>
        <w:jc w:val="right"/>
      </w:pPr>
      <w:r>
        <w:rPr>
          <w:rFonts w:ascii="David" w:cs="David" w:eastAsia="David" w:hAnsi="David"/>
          <w:b/>
          <w:bCs/>
          <w:sz w:val="28"/>
          <w:szCs w:val="28"/>
          <w:rtl/>
        </w:rPr>
        <w:t xml:space="preserve">הקשר בין רווחה נפשית ללגיטימיות</w:t>
      </w:r>
    </w:p>
    <w:p>
      <w:pPr>
        <w:bidi/>
        <w:spacing w:after="120" w:line="360"/>
        <w:ind w:firstLine="567"/>
        <w:jc w:val="both"/>
      </w:pPr>
      <w:r>
        <w:rPr>
          <w:rFonts w:ascii="David" w:cs="David" w:eastAsia="David" w:hAnsi="David"/>
          <w:sz w:val="24"/>
          <w:szCs w:val="24"/>
          <w:rtl/>
        </w:rPr>
        <w:t xml:space="preserve">כדי לבחון את השערה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חושבו מתאמי פירסון וספירמן בין ציון הרווחה הנפשית לציון הלגיטימיות, וכן מתאמי ספירמן בין הרווחה לכל אחד מפריטי הלגיטימיות. לוח </w:t>
      </w:r>
      <w:r>
        <w:rPr>
          <w:rFonts w:ascii="Times New Roman" w:cs="Times New Roman" w:eastAsia="Times New Roman" w:hAnsi="Times New Roman"/>
          <w:sz w:val="24"/>
          <w:szCs w:val="24"/>
        </w:rPr>
        <w:t xml:space="preserve">6</w:t>
      </w:r>
      <w:r>
        <w:rPr>
          <w:rFonts w:ascii="David" w:cs="David" w:eastAsia="David" w:hAnsi="David"/>
          <w:sz w:val="24"/>
          <w:szCs w:val="24"/>
          <w:rtl/>
        </w:rPr>
        <w:t xml:space="preserve"> מציג את התוצאות.</w:t>
      </w:r>
    </w:p>
    <w:p>
      <w:pPr>
        <w:keepNext/>
        <w:bidi/>
        <w:spacing w:after="80" w:before="200" w:line="360"/>
        <w:jc w:val="right"/>
      </w:pPr>
      <w:r>
        <w:rPr>
          <w:rFonts w:ascii="David" w:cs="David" w:eastAsia="David" w:hAnsi="David"/>
          <w:b/>
          <w:bCs/>
          <w:sz w:val="24"/>
          <w:szCs w:val="24"/>
          <w:rtl/>
        </w:rPr>
        <w:t xml:space="preserve">לוח </w:t>
      </w:r>
      <w:r>
        <w:rPr>
          <w:rFonts w:ascii="Times New Roman" w:cs="Times New Roman" w:eastAsia="Times New Roman" w:hAnsi="Times New Roman"/>
          <w:b/>
          <w:bCs/>
          <w:sz w:val="24"/>
          <w:szCs w:val="24"/>
        </w:rPr>
        <w:t xml:space="preserve">6</w:t>
      </w:r>
      <w:r>
        <w:rPr>
          <w:rFonts w:ascii="David" w:cs="David" w:eastAsia="David" w:hAnsi="David"/>
          <w:b/>
          <w:bCs/>
          <w:sz w:val="24"/>
          <w:szCs w:val="24"/>
          <w:rtl/>
        </w:rPr>
        <w:t xml:space="preserve">: מתאמים בין רווחה נפשית לבין לגיטימיות הסגל ופריטיה </w:t>
      </w:r>
      <w:r>
        <w:rPr>
          <w:rFonts w:ascii="Times New Roman" w:cs="Times New Roman" w:eastAsia="Times New Roman" w:hAnsi="Times New Roman"/>
          <w:b/>
          <w:bCs/>
          <w:sz w:val="24"/>
          <w:szCs w:val="24"/>
        </w:rPr>
        <w:t xml:space="preserve">(N = 2,344)</w:t>
      </w:r>
    </w:p>
    <w:tbl>
      <w:tblPr>
        <w:bidiVisual/>
        <w:tblW w:type="dxa" w:w="8400"/>
        <w:tblBorders>
          <w:top w:val="single" w:color="000000" w:sz="4"/>
          <w:left w:val="none" w:color="FFFFFF" w:sz="0"/>
          <w:bottom w:val="single" w:color="000000" w:sz="4"/>
          <w:right w:val="none" w:color="FFFFFF" w:sz="0"/>
          <w:insideH w:val="none" w:color="FFFFFF" w:sz="0"/>
          <w:insideV w:val="none" w:color="FFFFFF" w:sz="0"/>
        </w:tblBorders>
      </w:tblPr>
      <w:tblGrid>
        <w:gridCol w:w="4200"/>
        <w:gridCol w:w="1400"/>
        <w:gridCol w:w="1400"/>
        <w:gridCol w:w="1400"/>
      </w:tblGrid>
      <w:tr>
        <w:trPr>
          <w:cantSplit/>
          <w:tblHeader/>
        </w:trPr>
        <w:tc>
          <w:tcPr>
            <w:tcW w:type="dxa" w:w="4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משתנה</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פירסון </w:t>
            </w:r>
            <w:r>
              <w:rPr>
                <w:rFonts w:ascii="Times New Roman" w:cs="Times New Roman" w:eastAsia="Times New Roman" w:hAnsi="Times New Roman"/>
                <w:b/>
                <w:bCs/>
                <w:sz w:val="22"/>
                <w:szCs w:val="22"/>
              </w:rPr>
              <w:t xml:space="preserve">r</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ספירמן </w:t>
            </w:r>
            <w:r>
              <w:rPr>
                <w:rFonts w:ascii="Times New Roman" w:cs="Times New Roman" w:eastAsia="Times New Roman" w:hAnsi="Times New Roman"/>
                <w:b/>
                <w:bCs/>
                <w:sz w:val="22"/>
                <w:szCs w:val="22"/>
              </w:rPr>
              <w:t xml:space="preserve">rs</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p</w:t>
            </w:r>
          </w:p>
        </w:tc>
      </w:tr>
      <w:tr>
        <w:trPr>
          <w:cantSplit/>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לגיטימיות הסגל (ציון סולם)</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0.32</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0.34</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אפשר לדבר עם הסוהרים אם מודאג או עצוב</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0.29</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הסוהרים מתייחסים אליי בכבוד</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0.25</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שביעות רצון מהטיפול בבקשות</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0.25</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bl>
    <w:p>
      <w:pPr>
        <w:bidi/>
        <w:spacing w:after="200" w:before="60" w:line="276"/>
        <w:jc w:val="right"/>
      </w:pPr>
      <w:r>
        <w:rPr>
          <w:rFonts w:ascii="David" w:cs="David" w:eastAsia="David" w:hAnsi="David"/>
          <w:sz w:val="20"/>
          <w:szCs w:val="20"/>
          <w:rtl/>
        </w:rPr>
        <w:t xml:space="preserve">מקור: פלטי </w:t>
      </w:r>
      <w:r>
        <w:rPr>
          <w:rFonts w:ascii="Times New Roman" w:cs="Times New Roman" w:eastAsia="Times New Roman" w:hAnsi="Times New Roman"/>
          <w:sz w:val="20"/>
          <w:szCs w:val="20"/>
        </w:rPr>
        <w:t xml:space="preserve">Correlations</w:t>
      </w:r>
      <w:r>
        <w:rPr>
          <w:rFonts w:ascii="David" w:cs="David" w:eastAsia="David" w:hAnsi="David"/>
          <w:sz w:val="20"/>
          <w:szCs w:val="20"/>
          <w:rtl/>
        </w:rPr>
        <w:t xml:space="preserve"> ו-</w:t>
      </w:r>
      <w:r>
        <w:rPr>
          <w:rFonts w:ascii="Times New Roman" w:cs="Times New Roman" w:eastAsia="Times New Roman" w:hAnsi="Times New Roman"/>
          <w:sz w:val="20"/>
          <w:szCs w:val="20"/>
        </w:rPr>
        <w:t xml:space="preserve">Nonparametric Correlations</w:t>
      </w:r>
      <w:r>
        <w:rPr>
          <w:rFonts w:ascii="David" w:cs="David" w:eastAsia="David" w:hAnsi="David"/>
          <w:sz w:val="20"/>
          <w:szCs w:val="20"/>
          <w:rtl/>
        </w:rPr>
        <w:t xml:space="preserve">, נספח.</w:t>
      </w:r>
    </w:p>
    <w:p>
      <w:pPr>
        <w:bidi/>
        <w:spacing w:after="120" w:line="360"/>
        <w:ind w:firstLine="567"/>
        <w:jc w:val="both"/>
      </w:pPr>
      <w:r>
        <w:rPr>
          <w:rFonts w:ascii="David" w:cs="David" w:eastAsia="David" w:hAnsi="David"/>
          <w:sz w:val="24"/>
          <w:szCs w:val="24"/>
          <w:rtl/>
        </w:rPr>
        <w:t xml:space="preserve">מלוח </w:t>
      </w:r>
      <w:r>
        <w:rPr>
          <w:rFonts w:ascii="Times New Roman" w:cs="Times New Roman" w:eastAsia="Times New Roman" w:hAnsi="Times New Roman"/>
          <w:sz w:val="24"/>
          <w:szCs w:val="24"/>
        </w:rPr>
        <w:t xml:space="preserve">6</w:t>
      </w:r>
      <w:r>
        <w:rPr>
          <w:rFonts w:ascii="David" w:cs="David" w:eastAsia="David" w:hAnsi="David"/>
          <w:sz w:val="24"/>
          <w:szCs w:val="24"/>
          <w:rtl/>
        </w:rPr>
        <w:t xml:space="preserve"> ניתן ללמוד כי נמצא קשר חיובי מובהק בעוצמה בינונית בין רווחה נפשית ללגיטימיות </w:t>
      </w:r>
      <w:r>
        <w:rPr>
          <w:rFonts w:ascii="Times New Roman" w:cs="Times New Roman" w:eastAsia="Times New Roman" w:hAnsi="Times New Roman"/>
          <w:sz w:val="24"/>
          <w:szCs w:val="24"/>
        </w:rPr>
        <w:t xml:space="preserve">(r = 0.32, p &lt; 0.001)</w:t>
      </w:r>
      <w:r>
        <w:rPr>
          <w:rFonts w:ascii="David" w:cs="David" w:eastAsia="David" w:hAnsi="David"/>
          <w:sz w:val="24"/>
          <w:szCs w:val="24"/>
          <w:rtl/>
        </w:rPr>
        <w:t xml:space="preserve">: ככל שהשפוט מדווח על רווחה נפשית גבוהה יותר, כך הוא מייחס לסגל לגיטימיות גבוהה יותר, ולהפך. מתאם ספירמן (</w:t>
      </w:r>
      <w:r>
        <w:rPr>
          <w:rFonts w:ascii="Times New Roman" w:cs="Times New Roman" w:eastAsia="Times New Roman" w:hAnsi="Times New Roman"/>
          <w:sz w:val="24"/>
          <w:szCs w:val="24"/>
        </w:rPr>
        <w:t xml:space="preserve">0.34</w:t>
      </w:r>
      <w:r>
        <w:rPr>
          <w:rFonts w:ascii="David" w:cs="David" w:eastAsia="David" w:hAnsi="David"/>
          <w:sz w:val="24"/>
          <w:szCs w:val="24"/>
          <w:rtl/>
        </w:rPr>
        <w:t xml:space="preserve">) קרוב מאוד למתאם פירסון, ומכאן שההטיה בהתפלגות הלגיטימיות אינה מעוותת את התמונה. הקשר קיים בכל שלושת הפריטים, והחזק שבהם הוא האפשרות לדבר עם הסוהרים כשמודאגים או עצובים (</w:t>
      </w:r>
      <w:r>
        <w:rPr>
          <w:rFonts w:ascii="Times New Roman" w:cs="Times New Roman" w:eastAsia="Times New Roman" w:hAnsi="Times New Roman"/>
          <w:sz w:val="24"/>
          <w:szCs w:val="24"/>
        </w:rPr>
        <w:t xml:space="preserve">0.29</w:t>
      </w:r>
      <w:r>
        <w:rPr>
          <w:rFonts w:ascii="David" w:cs="David" w:eastAsia="David" w:hAnsi="David"/>
          <w:sz w:val="24"/>
          <w:szCs w:val="24"/>
          <w:rtl/>
        </w:rPr>
        <w:t xml:space="preserve">). ממצא זה מתיישב עם עבודתו של טיילר </w:t>
      </w:r>
      <w:r>
        <w:rPr>
          <w:rFonts w:ascii="Times New Roman" w:cs="Times New Roman" w:eastAsia="Times New Roman" w:hAnsi="Times New Roman"/>
          <w:sz w:val="24"/>
          <w:szCs w:val="24"/>
        </w:rPr>
        <w:t xml:space="preserve">(Tyler, 1990)</w:t>
      </w:r>
      <w:r>
        <w:rPr>
          <w:rFonts w:ascii="David" w:cs="David" w:eastAsia="David" w:hAnsi="David"/>
          <w:sz w:val="24"/>
          <w:szCs w:val="24"/>
          <w:rtl/>
        </w:rPr>
        <w:t xml:space="preserve"> על מתן קול כמרכיב הצדק הפרוצדורלי, ועם הממצא ההולנדי שלפיו יחסי הסגל הם ממד האקלים הקשור ביותר לרווחה </w:t>
      </w:r>
      <w:r>
        <w:rPr>
          <w:rFonts w:ascii="Times New Roman" w:cs="Times New Roman" w:eastAsia="Times New Roman" w:hAnsi="Times New Roman"/>
          <w:sz w:val="24"/>
          <w:szCs w:val="24"/>
        </w:rPr>
        <w:t xml:space="preserve">(Van Ginneken et al., 2019)</w:t>
      </w:r>
      <w:r>
        <w:rPr>
          <w:rFonts w:ascii="David" w:cs="David" w:eastAsia="David" w:hAnsi="David"/>
          <w:sz w:val="24"/>
          <w:szCs w:val="24"/>
          <w:rtl/>
        </w:rPr>
        <w:t xml:space="preserve">. ההשערה הראשונה אוששה. לוח </w:t>
      </w:r>
      <w:r>
        <w:rPr>
          <w:rFonts w:ascii="Times New Roman" w:cs="Times New Roman" w:eastAsia="Times New Roman" w:hAnsi="Times New Roman"/>
          <w:sz w:val="24"/>
          <w:szCs w:val="24"/>
        </w:rPr>
        <w:t xml:space="preserve">7</w:t>
      </w:r>
      <w:r>
        <w:rPr>
          <w:rFonts w:ascii="David" w:cs="David" w:eastAsia="David" w:hAnsi="David"/>
          <w:sz w:val="24"/>
          <w:szCs w:val="24"/>
          <w:rtl/>
        </w:rPr>
        <w:t xml:space="preserve"> מציג את הקשר מזווית נוספת, ממוצע הרווחה הנפשית בשלוש רמות של לגיטימיות.</w:t>
      </w:r>
    </w:p>
    <w:p>
      <w:pPr>
        <w:keepNext/>
        <w:bidi/>
        <w:spacing w:after="80" w:before="200" w:line="360"/>
        <w:jc w:val="right"/>
      </w:pPr>
      <w:r>
        <w:rPr>
          <w:rFonts w:ascii="David" w:cs="David" w:eastAsia="David" w:hAnsi="David"/>
          <w:b/>
          <w:bCs/>
          <w:sz w:val="24"/>
          <w:szCs w:val="24"/>
          <w:rtl/>
        </w:rPr>
        <w:t xml:space="preserve">לוח </w:t>
      </w:r>
      <w:r>
        <w:rPr>
          <w:rFonts w:ascii="Times New Roman" w:cs="Times New Roman" w:eastAsia="Times New Roman" w:hAnsi="Times New Roman"/>
          <w:b/>
          <w:bCs/>
          <w:sz w:val="24"/>
          <w:szCs w:val="24"/>
        </w:rPr>
        <w:t xml:space="preserve">7</w:t>
      </w:r>
      <w:r>
        <w:rPr>
          <w:rFonts w:ascii="David" w:cs="David" w:eastAsia="David" w:hAnsi="David"/>
          <w:b/>
          <w:bCs/>
          <w:sz w:val="24"/>
          <w:szCs w:val="24"/>
          <w:rtl/>
        </w:rPr>
        <w:t xml:space="preserve">: ממוצע הרווחה הנפשית לפי רמת הלגיטימיות </w:t>
      </w:r>
      <w:r>
        <w:rPr>
          <w:rFonts w:ascii="Times New Roman" w:cs="Times New Roman" w:eastAsia="Times New Roman" w:hAnsi="Times New Roman"/>
          <w:b/>
          <w:bCs/>
          <w:sz w:val="24"/>
          <w:szCs w:val="24"/>
        </w:rPr>
        <w:t xml:space="preserve">(N = 2,344)</w:t>
      </w:r>
    </w:p>
    <w:tbl>
      <w:tblPr>
        <w:bidiVisual/>
        <w:tblW w:type="dxa" w:w="7600"/>
        <w:tblBorders>
          <w:top w:val="single" w:color="000000" w:sz="4"/>
          <w:left w:val="none" w:color="FFFFFF" w:sz="0"/>
          <w:bottom w:val="single" w:color="000000" w:sz="4"/>
          <w:right w:val="none" w:color="FFFFFF" w:sz="0"/>
          <w:insideH w:val="none" w:color="FFFFFF" w:sz="0"/>
          <w:insideV w:val="none" w:color="FFFFFF" w:sz="0"/>
        </w:tblBorders>
      </w:tblPr>
      <w:tblGrid>
        <w:gridCol w:w="2000"/>
        <w:gridCol w:w="2000"/>
        <w:gridCol w:w="1200"/>
        <w:gridCol w:w="1200"/>
        <w:gridCol w:w="1200"/>
      </w:tblGrid>
      <w:tr>
        <w:trPr>
          <w:cantSplit/>
          <w:tblHeader/>
        </w:trPr>
        <w:tc>
          <w:tcPr>
            <w:tcW w:type="dxa" w:w="2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רמת לגיטימיות</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טווח ציונים</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N</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SD</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נמוכה</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עד </w:t>
            </w:r>
            <w:r>
              <w:rPr>
                <w:rFonts w:ascii="Times New Roman" w:cs="Times New Roman" w:eastAsia="Times New Roman" w:hAnsi="Times New Roman"/>
                <w:b w:val="false"/>
                <w:bCs w:val="false"/>
                <w:sz w:val="22"/>
                <w:szCs w:val="22"/>
              </w:rPr>
              <w:t xml:space="preserve">3.50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427</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3.34</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0.87</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בינונית</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Times New Roman" w:eastAsia="Times New Roman" w:hAnsi="Times New Roman"/>
                <w:b w:val="false"/>
                <w:bCs w:val="false"/>
                <w:sz w:val="22"/>
                <w:szCs w:val="22"/>
              </w:rPr>
              <w:t xml:space="preserve">3.51</w:t>
            </w:r>
            <w:r>
              <w:rPr>
                <w:rFonts w:ascii="David" w:cs="David" w:eastAsia="David" w:hAnsi="David"/>
                <w:b w:val="false"/>
                <w:bCs w:val="false"/>
                <w:sz w:val="22"/>
                <w:szCs w:val="22"/>
                <w:rtl/>
              </w:rPr>
              <w:t xml:space="preserve"> עד </w:t>
            </w:r>
            <w:r>
              <w:rPr>
                <w:rFonts w:ascii="Times New Roman" w:cs="Times New Roman" w:eastAsia="Times New Roman" w:hAnsi="Times New Roman"/>
                <w:b w:val="false"/>
                <w:bCs w:val="false"/>
                <w:sz w:val="22"/>
                <w:szCs w:val="22"/>
              </w:rPr>
              <w:t xml:space="preserve">4.50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809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3.65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0.80</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גבוהה</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David" w:cs="David" w:eastAsia="David" w:hAnsi="David"/>
                <w:b w:val="false"/>
                <w:bCs w:val="false"/>
                <w:sz w:val="22"/>
                <w:szCs w:val="22"/>
                <w:rtl/>
              </w:rPr>
              <w:t xml:space="preserve">מעל </w:t>
            </w:r>
            <w:r>
              <w:rPr>
                <w:rFonts w:ascii="Times New Roman" w:cs="Times New Roman" w:eastAsia="Times New Roman" w:hAnsi="Times New Roman"/>
                <w:b w:val="false"/>
                <w:bCs w:val="false"/>
                <w:sz w:val="22"/>
                <w:szCs w:val="22"/>
              </w:rPr>
              <w:t xml:space="preserve">4.50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1,108</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0.84</w:t>
            </w:r>
          </w:p>
        </w:tc>
      </w:tr>
    </w:tbl>
    <w:p>
      <w:pPr>
        <w:bidi/>
        <w:spacing w:after="200" w:before="60" w:line="276"/>
        <w:jc w:val="right"/>
      </w:pPr>
    </w:p>
    <w:p>
      <w:pPr>
        <w:bidi/>
        <w:spacing w:after="120" w:line="360"/>
        <w:ind w:firstLine="567"/>
        <w:jc w:val="both"/>
      </w:pPr>
      <w:r>
        <w:rPr>
          <w:rFonts w:ascii="David" w:cs="David" w:eastAsia="David" w:hAnsi="David"/>
          <w:sz w:val="24"/>
          <w:szCs w:val="24"/>
          <w:rtl/>
        </w:rPr>
        <w:t xml:space="preserve">מלוח </w:t>
      </w:r>
      <w:r>
        <w:rPr>
          <w:rFonts w:ascii="Times New Roman" w:cs="Times New Roman" w:eastAsia="Times New Roman" w:hAnsi="Times New Roman"/>
          <w:sz w:val="24"/>
          <w:szCs w:val="24"/>
        </w:rPr>
        <w:t xml:space="preserve">7</w:t>
      </w:r>
      <w:r>
        <w:rPr>
          <w:rFonts w:ascii="David" w:cs="David" w:eastAsia="David" w:hAnsi="David"/>
          <w:sz w:val="24"/>
          <w:szCs w:val="24"/>
          <w:rtl/>
        </w:rPr>
        <w:t xml:space="preserve"> עולה מדרג ברור: השפוטים ברמת הלגיטימיות הנמוכה מדווחים על רווחה נפשית ממוצעת של </w:t>
      </w:r>
      <w:r>
        <w:rPr>
          <w:rFonts w:ascii="Times New Roman" w:cs="Times New Roman" w:eastAsia="Times New Roman" w:hAnsi="Times New Roman"/>
          <w:sz w:val="24"/>
          <w:szCs w:val="24"/>
        </w:rPr>
        <w:t xml:space="preserve">3.34,</w:t>
      </w:r>
      <w:r>
        <w:rPr>
          <w:rFonts w:ascii="David" w:cs="David" w:eastAsia="David" w:hAnsi="David"/>
          <w:sz w:val="24"/>
          <w:szCs w:val="24"/>
          <w:rtl/>
        </w:rPr>
        <w:t xml:space="preserve"> ואילו אלו ברמה הגבוהה על </w:t>
      </w:r>
      <w:r>
        <w:rPr>
          <w:rFonts w:ascii="Times New Roman" w:cs="Times New Roman" w:eastAsia="Times New Roman" w:hAnsi="Times New Roman"/>
          <w:sz w:val="24"/>
          <w:szCs w:val="24"/>
        </w:rPr>
        <w:t xml:space="preserve">4.05,</w:t>
      </w:r>
      <w:r>
        <w:rPr>
          <w:rFonts w:ascii="David" w:cs="David" w:eastAsia="David" w:hAnsi="David"/>
          <w:sz w:val="24"/>
          <w:szCs w:val="24"/>
          <w:rtl/>
        </w:rPr>
        <w:t xml:space="preserve"> פער של כ</w:t>
      </w:r>
      <w:r>
        <w:rPr>
          <w:rFonts w:ascii="Times New Roman" w:cs="Times New Roman" w:eastAsia="Times New Roman" w:hAnsi="Times New Roman"/>
          <w:sz w:val="24"/>
          <w:szCs w:val="24"/>
        </w:rPr>
        <w:t xml:space="preserve">-0.7</w:t>
      </w:r>
      <w:r>
        <w:rPr>
          <w:rFonts w:ascii="David" w:cs="David" w:eastAsia="David" w:hAnsi="David"/>
          <w:sz w:val="24"/>
          <w:szCs w:val="24"/>
          <w:rtl/>
        </w:rPr>
        <w:t xml:space="preserve"> נקודות בסולם של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עד </w:t>
      </w:r>
      <w:r>
        <w:rPr>
          <w:rFonts w:ascii="Times New Roman" w:cs="Times New Roman" w:eastAsia="Times New Roman" w:hAnsi="Times New Roman"/>
          <w:sz w:val="24"/>
          <w:szCs w:val="24"/>
        </w:rPr>
        <w:t xml:space="preserve">5,</w:t>
      </w:r>
      <w:r>
        <w:rPr>
          <w:rFonts w:ascii="David" w:cs="David" w:eastAsia="David" w:hAnsi="David"/>
          <w:sz w:val="24"/>
          <w:szCs w:val="24"/>
          <w:rtl/>
        </w:rPr>
        <w:t xml:space="preserve"> שהוא כ</w:t>
      </w:r>
      <w:r>
        <w:rPr>
          <w:rFonts w:ascii="Times New Roman" w:cs="Times New Roman" w:eastAsia="Times New Roman" w:hAnsi="Times New Roman"/>
          <w:sz w:val="24"/>
          <w:szCs w:val="24"/>
        </w:rPr>
        <w:t xml:space="preserve">-80</w:t>
      </w:r>
      <w:r>
        <w:rPr>
          <w:rFonts w:ascii="David" w:cs="David" w:eastAsia="David" w:hAnsi="David"/>
          <w:sz w:val="24"/>
          <w:szCs w:val="24"/>
          <w:rtl/>
        </w:rPr>
        <w:t xml:space="preserve"> אחוזים מסטיית תקן. פער בגודל כזה בין קבוצות שנבדלות רק בתפיסת הסגל דומה בעוצמתו לפער שמצאו אוטי וליבלינג </w:t>
      </w:r>
      <w:r>
        <w:rPr>
          <w:rFonts w:ascii="Times New Roman" w:cs="Times New Roman" w:eastAsia="Times New Roman" w:hAnsi="Times New Roman"/>
          <w:sz w:val="24"/>
          <w:szCs w:val="24"/>
        </w:rPr>
        <w:t xml:space="preserve">(Auty &amp; Liebling, 2024)</w:t>
      </w:r>
      <w:r>
        <w:rPr>
          <w:rFonts w:ascii="David" w:cs="David" w:eastAsia="David" w:hAnsi="David"/>
          <w:sz w:val="24"/>
          <w:szCs w:val="24"/>
          <w:rtl/>
        </w:rPr>
        <w:t xml:space="preserve"> בין בתי סוהר שמעל ומתחת לסף היחסים שזיהו.</w:t>
      </w:r>
    </w:p>
    <w:p>
      <w:pPr>
        <w:pStyle w:val="Heading2"/>
        <w:keepNext/>
        <w:bidi/>
        <w:spacing w:after="120" w:before="240" w:line="360"/>
        <w:jc w:val="right"/>
      </w:pPr>
      <w:r>
        <w:rPr>
          <w:rFonts w:ascii="David" w:cs="David" w:eastAsia="David" w:hAnsi="David"/>
          <w:b/>
          <w:bCs/>
          <w:sz w:val="28"/>
          <w:szCs w:val="28"/>
          <w:rtl/>
        </w:rPr>
        <w:t xml:space="preserve">ניתוח רגרסיה</w:t>
      </w:r>
    </w:p>
    <w:p>
      <w:pPr>
        <w:bidi/>
        <w:spacing w:after="120" w:line="360"/>
        <w:ind w:firstLine="567"/>
        <w:jc w:val="both"/>
      </w:pPr>
      <w:r>
        <w:rPr>
          <w:rFonts w:ascii="David" w:cs="David" w:eastAsia="David" w:hAnsi="David"/>
          <w:sz w:val="24"/>
          <w:szCs w:val="24"/>
          <w:rtl/>
        </w:rPr>
        <w:t xml:space="preserve">כדי לבחון את השערה </w:t>
      </w:r>
      <w:r>
        <w:rPr>
          <w:rFonts w:ascii="Times New Roman" w:cs="Times New Roman" w:eastAsia="Times New Roman" w:hAnsi="Times New Roman"/>
          <w:sz w:val="24"/>
          <w:szCs w:val="24"/>
        </w:rPr>
        <w:t xml:space="preserve">2</w:t>
      </w:r>
      <w:r>
        <w:rPr>
          <w:rFonts w:ascii="David" w:cs="David" w:eastAsia="David" w:hAnsi="David"/>
          <w:sz w:val="24"/>
          <w:szCs w:val="24"/>
          <w:rtl/>
        </w:rPr>
        <w:t xml:space="preserve"> נערכה רגרסיה ליניארית היררכית שבה הלגיטימיות שימשה משתנה תלוי. בצעד הראשון הוזנה הרווחה הנפשית, בצעד השני הגיל והלאום (יהודי =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ובצעד השלישי מספר המאסרים והוותק באגף (יותר מחודש =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לוח </w:t>
      </w:r>
      <w:r>
        <w:rPr>
          <w:rFonts w:ascii="Times New Roman" w:cs="Times New Roman" w:eastAsia="Times New Roman" w:hAnsi="Times New Roman"/>
          <w:sz w:val="24"/>
          <w:szCs w:val="24"/>
        </w:rPr>
        <w:t xml:space="preserve">8</w:t>
      </w:r>
      <w:r>
        <w:rPr>
          <w:rFonts w:ascii="David" w:cs="David" w:eastAsia="David" w:hAnsi="David"/>
          <w:sz w:val="24"/>
          <w:szCs w:val="24"/>
          <w:rtl/>
        </w:rPr>
        <w:t xml:space="preserve"> מציג את התוצאות.</w:t>
      </w:r>
    </w:p>
    <w:p>
      <w:pPr>
        <w:keepNext/>
        <w:bidi/>
        <w:spacing w:after="80" w:before="200" w:line="360"/>
        <w:jc w:val="right"/>
      </w:pPr>
      <w:r>
        <w:rPr>
          <w:rFonts w:ascii="David" w:cs="David" w:eastAsia="David" w:hAnsi="David"/>
          <w:b/>
          <w:bCs/>
          <w:sz w:val="24"/>
          <w:szCs w:val="24"/>
          <w:rtl/>
        </w:rPr>
        <w:t xml:space="preserve">לוח </w:t>
      </w:r>
      <w:r>
        <w:rPr>
          <w:rFonts w:ascii="Times New Roman" w:cs="Times New Roman" w:eastAsia="Times New Roman" w:hAnsi="Times New Roman"/>
          <w:b/>
          <w:bCs/>
          <w:sz w:val="24"/>
          <w:szCs w:val="24"/>
        </w:rPr>
        <w:t xml:space="preserve">8</w:t>
      </w:r>
      <w:r>
        <w:rPr>
          <w:rFonts w:ascii="David" w:cs="David" w:eastAsia="David" w:hAnsi="David"/>
          <w:b/>
          <w:bCs/>
          <w:sz w:val="24"/>
          <w:szCs w:val="24"/>
          <w:rtl/>
        </w:rPr>
        <w:t xml:space="preserve">: רגרסיה ליניארית היררכית לניבוי לגיטימיות הסגל </w:t>
      </w:r>
      <w:r>
        <w:rPr>
          <w:rFonts w:ascii="Times New Roman" w:cs="Times New Roman" w:eastAsia="Times New Roman" w:hAnsi="Times New Roman"/>
          <w:b/>
          <w:bCs/>
          <w:sz w:val="24"/>
          <w:szCs w:val="24"/>
        </w:rPr>
        <w:t xml:space="preserve">(N = 2,344)</w:t>
      </w:r>
    </w:p>
    <w:tbl>
      <w:tblPr>
        <w:bidiVisual/>
        <w:tblW w:type="dxa" w:w="8400"/>
        <w:tblBorders>
          <w:top w:val="single" w:color="000000" w:sz="4"/>
          <w:left w:val="none" w:color="FFFFFF" w:sz="0"/>
          <w:bottom w:val="single" w:color="000000" w:sz="4"/>
          <w:right w:val="none" w:color="FFFFFF" w:sz="0"/>
          <w:insideH w:val="none" w:color="FFFFFF" w:sz="0"/>
          <w:insideV w:val="none" w:color="FFFFFF" w:sz="0"/>
        </w:tblBorders>
      </w:tblPr>
      <w:tblGrid>
        <w:gridCol w:w="3300"/>
        <w:gridCol w:w="900"/>
        <w:gridCol w:w="900"/>
        <w:gridCol w:w="900"/>
        <w:gridCol w:w="1000"/>
        <w:gridCol w:w="1400"/>
      </w:tblGrid>
      <w:tr>
        <w:trPr>
          <w:cantSplit/>
          <w:tblHeader/>
        </w:trPr>
        <w:tc>
          <w:tcPr>
            <w:tcW w:type="dxa" w:w="3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צעד ומנבא</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B</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SE</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β</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t</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p</w:t>
            </w: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צעד </w:t>
            </w:r>
            <w:r>
              <w:rPr>
                <w:rFonts w:ascii="Times New Roman" w:cs="Times New Roman" w:eastAsia="Times New Roman" w:hAnsi="Times New Roman"/>
                <w:b w:val="false"/>
                <w:bCs w:val="false"/>
                <w:sz w:val="22"/>
                <w:szCs w:val="22"/>
              </w:rPr>
              <w:t xml:space="preserve">1</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R² = 0.102, F(1, 2342) = 266.0, p &lt; 0.001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רווחה נפשית</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16.31</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צעד </w:t>
            </w:r>
            <w:r>
              <w:rPr>
                <w:rFonts w:ascii="Times New Roman" w:cs="Times New Roman" w:eastAsia="Times New Roman" w:hAnsi="Times New Roman"/>
                <w:b w:val="false"/>
                <w:bCs w:val="false"/>
                <w:sz w:val="22"/>
                <w:szCs w:val="22"/>
              </w:rPr>
              <w:t xml:space="preserve">2</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R² = 0.112, ΔR² = 0.010, F(3, 2340) = 98.4, p &lt; 0.001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רווחה נפשית</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0.33</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16.84</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גיל (שנים)</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5.05</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לאום (יהודי = </w:t>
            </w:r>
            <w:r>
              <w:rPr>
                <w:rFonts w:ascii="Times New Roman" w:cs="Times New Roman" w:eastAsia="Times New Roman" w:hAnsi="Times New Roman"/>
                <w:b w:val="false"/>
                <w:bCs w:val="false"/>
                <w:sz w:val="22"/>
                <w:szCs w:val="22"/>
              </w:rPr>
              <w:t xml:space="preserve">1</w:t>
            </w:r>
            <w:r>
              <w:rPr>
                <w:rFonts w:ascii="David" w:cs="David" w:eastAsia="David" w:hAnsi="David"/>
                <w:b w:val="false"/>
                <w:bCs w:val="false"/>
                <w:sz w:val="22"/>
                <w:szCs w:val="22"/>
                <w:rtl/>
              </w:rPr>
              <w:t xml:space="preserve">)</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-0.12</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0.905</w:t>
            </w: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צעד </w:t>
            </w:r>
            <w:r>
              <w:rPr>
                <w:rFonts w:ascii="Times New Roman" w:cs="Times New Roman" w:eastAsia="Times New Roman" w:hAnsi="Times New Roman"/>
                <w:b w:val="false"/>
                <w:bCs w:val="false"/>
                <w:sz w:val="22"/>
                <w:szCs w:val="22"/>
              </w:rPr>
              <w:t xml:space="preserve">3</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sz w:val="22"/>
                <w:szCs w:val="22"/>
              </w:rPr>
              <w:t xml:space="preserve">R² = 0.114, ΔR² = 0.002, F(5, 2338) = 60.4, p &lt; 0.001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רווחה נפשית</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0.33</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16.85</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גיל (שנים)</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5.27</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לאום (יהודי = </w:t>
            </w:r>
            <w:r>
              <w:rPr>
                <w:rFonts w:ascii="Times New Roman" w:cs="Times New Roman" w:eastAsia="Times New Roman" w:hAnsi="Times New Roman"/>
                <w:b w:val="false"/>
                <w:bCs w:val="false"/>
                <w:sz w:val="22"/>
                <w:szCs w:val="22"/>
              </w:rPr>
              <w:t xml:space="preserve">1</w:t>
            </w:r>
            <w:r>
              <w:rPr>
                <w:rFonts w:ascii="David" w:cs="David" w:eastAsia="David" w:hAnsi="David"/>
                <w:b w:val="false"/>
                <w:bCs w:val="false"/>
                <w:sz w:val="22"/>
                <w:szCs w:val="22"/>
                <w:rtl/>
              </w:rPr>
              <w:t xml:space="preserve">)</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-0.11</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0.912</w:t>
            </w: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מספר מאסרים (</w:t>
            </w:r>
            <w:r>
              <w:rPr>
                <w:rFonts w:ascii="Times New Roman" w:cs="Times New Roman" w:eastAsia="Times New Roman" w:hAnsi="Times New Roman"/>
                <w:b w:val="false"/>
                <w:bCs w:val="false"/>
                <w:sz w:val="22"/>
                <w:szCs w:val="22"/>
              </w:rPr>
              <w:t xml:space="preserve">1</w:t>
            </w:r>
            <w:r>
              <w:rPr>
                <w:rFonts w:ascii="David" w:cs="David" w:eastAsia="David" w:hAnsi="David"/>
                <w:b w:val="false"/>
                <w:bCs w:val="false"/>
                <w:sz w:val="22"/>
                <w:szCs w:val="22"/>
                <w:rtl/>
              </w:rPr>
              <w:t xml:space="preserve"> עד </w:t>
            </w:r>
            <w:r>
              <w:rPr>
                <w:rFonts w:ascii="Times New Roman" w:cs="Times New Roman" w:eastAsia="Times New Roman" w:hAnsi="Times New Roman"/>
                <w:b w:val="false"/>
                <w:bCs w:val="false"/>
                <w:sz w:val="22"/>
                <w:szCs w:val="22"/>
              </w:rPr>
              <w:t xml:space="preserve">3</w:t>
            </w:r>
            <w:r>
              <w:rPr>
                <w:rFonts w:ascii="David" w:cs="David" w:eastAsia="David" w:hAnsi="David"/>
                <w:b w:val="false"/>
                <w:bCs w:val="false"/>
                <w:sz w:val="22"/>
                <w:szCs w:val="22"/>
                <w:rtl/>
              </w:rPr>
              <w:t xml:space="preserve">)</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-1.04</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0.297</w:t>
            </w:r>
          </w:p>
        </w:tc>
      </w:tr>
      <w:tr>
        <w:trPr>
          <w:cantSplit/>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ותק באגף (מעל חודש = </w:t>
            </w:r>
            <w:r>
              <w:rPr>
                <w:rFonts w:ascii="Times New Roman" w:cs="Times New Roman" w:eastAsia="Times New Roman" w:hAnsi="Times New Roman"/>
                <w:b w:val="false"/>
                <w:bCs w:val="false"/>
                <w:sz w:val="22"/>
                <w:szCs w:val="22"/>
              </w:rPr>
              <w:t xml:space="preserve">1</w:t>
            </w:r>
            <w:r>
              <w:rPr>
                <w:rFonts w:ascii="David" w:cs="David" w:eastAsia="David" w:hAnsi="David"/>
                <w:b w:val="false"/>
                <w:bCs w:val="false"/>
                <w:sz w:val="22"/>
                <w:szCs w:val="22"/>
                <w:rtl/>
              </w:rPr>
              <w:t xml:space="preserve">)</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-2.28</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0.023</w:t>
            </w:r>
          </w:p>
        </w:tc>
      </w:tr>
    </w:tbl>
    <w:p>
      <w:pPr>
        <w:bidi/>
        <w:spacing w:after="200" w:before="60" w:line="276"/>
        <w:jc w:val="right"/>
      </w:pPr>
      <w:r>
        <w:rPr>
          <w:rFonts w:ascii="David" w:cs="David" w:eastAsia="David" w:hAnsi="David"/>
          <w:sz w:val="20"/>
          <w:szCs w:val="20"/>
          <w:rtl/>
        </w:rPr>
        <w:t xml:space="preserve">מקור: פלט </w:t>
      </w:r>
      <w:r>
        <w:rPr>
          <w:rFonts w:ascii="Times New Roman" w:cs="Times New Roman" w:eastAsia="Times New Roman" w:hAnsi="Times New Roman"/>
          <w:sz w:val="20"/>
          <w:szCs w:val="20"/>
        </w:rPr>
        <w:t xml:space="preserve">Regression</w:t>
      </w:r>
      <w:r>
        <w:rPr>
          <w:rFonts w:ascii="David" w:cs="David" w:eastAsia="David" w:hAnsi="David"/>
          <w:sz w:val="20"/>
          <w:szCs w:val="20"/>
          <w:rtl/>
        </w:rPr>
        <w:t xml:space="preserve">, נספח.</w:t>
      </w:r>
    </w:p>
    <w:p>
      <w:pPr>
        <w:bidi/>
        <w:spacing w:after="120" w:line="360"/>
        <w:ind w:firstLine="567"/>
        <w:jc w:val="both"/>
      </w:pPr>
      <w:r>
        <w:rPr>
          <w:rFonts w:ascii="David" w:cs="David" w:eastAsia="David" w:hAnsi="David"/>
          <w:sz w:val="24"/>
          <w:szCs w:val="24"/>
          <w:rtl/>
        </w:rPr>
        <w:t xml:space="preserve">מלוח </w:t>
      </w:r>
      <w:r>
        <w:rPr>
          <w:rFonts w:ascii="Times New Roman" w:cs="Times New Roman" w:eastAsia="Times New Roman" w:hAnsi="Times New Roman"/>
          <w:sz w:val="24"/>
          <w:szCs w:val="24"/>
        </w:rPr>
        <w:t xml:space="preserve">8</w:t>
      </w:r>
      <w:r>
        <w:rPr>
          <w:rFonts w:ascii="David" w:cs="David" w:eastAsia="David" w:hAnsi="David"/>
          <w:sz w:val="24"/>
          <w:szCs w:val="24"/>
          <w:rtl/>
        </w:rPr>
        <w:t xml:space="preserve"> ניתן ללמוד כי הרווחה הנפשית לבדה מסבירה </w:t>
      </w:r>
      <w:r>
        <w:rPr>
          <w:rFonts w:ascii="Times New Roman" w:cs="Times New Roman" w:eastAsia="Times New Roman" w:hAnsi="Times New Roman"/>
          <w:sz w:val="24"/>
          <w:szCs w:val="24"/>
        </w:rPr>
        <w:t xml:space="preserve">10.2</w:t>
      </w:r>
      <w:r>
        <w:rPr>
          <w:rFonts w:ascii="David" w:cs="David" w:eastAsia="David" w:hAnsi="David"/>
          <w:sz w:val="24"/>
          <w:szCs w:val="24"/>
          <w:rtl/>
        </w:rPr>
        <w:t xml:space="preserve"> אחוזים מהשונות בלגיטימיות, והמודל מובהק. הוספת הגיל והלאום מעלה את ההסבר ל</w:t>
      </w:r>
      <w:r>
        <w:rPr>
          <w:rFonts w:ascii="Times New Roman" w:cs="Times New Roman" w:eastAsia="Times New Roman" w:hAnsi="Times New Roman"/>
          <w:sz w:val="24"/>
          <w:szCs w:val="24"/>
        </w:rPr>
        <w:t xml:space="preserve">-11.2</w:t>
      </w:r>
      <w:r>
        <w:rPr>
          <w:rFonts w:ascii="David" w:cs="David" w:eastAsia="David" w:hAnsi="David"/>
          <w:sz w:val="24"/>
          <w:szCs w:val="24"/>
          <w:rtl/>
        </w:rPr>
        <w:t xml:space="preserve"> אחוזים בלבד, ותרומת הרווחה הנפשית אינה נחלשת אלא מתחזקת מעט (β = </w:t>
      </w:r>
      <w:r>
        <w:rPr>
          <w:rFonts w:ascii="Times New Roman" w:cs="Times New Roman" w:eastAsia="Times New Roman" w:hAnsi="Times New Roman"/>
          <w:sz w:val="24"/>
          <w:szCs w:val="24"/>
        </w:rPr>
        <w:t xml:space="preserve">0.33</w:t>
      </w:r>
      <w:r>
        <w:rPr>
          <w:rFonts w:ascii="David" w:cs="David" w:eastAsia="David" w:hAnsi="David"/>
          <w:sz w:val="24"/>
          <w:szCs w:val="24"/>
          <w:rtl/>
        </w:rPr>
        <w:t xml:space="preserve">). הגיל תורם תרומה קטנה ומובהקת: שפוטים מבוגרים יותר מייחסים לסגל לגיטימיות גבוהה מעט יותר. הלאום אינו קשור ללגיטימיות, בדומה לממצא בסקר המקורי, שבו לא נמצא הבדל מובהק בלגיטימיות בין יהודים ללא יהודים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בצעד השלישי מספר המאסרים אינו תורם, והוותק באגף תורם תרומה זעירה ומובהקת בגבול: שפוטים השוהים באגף יותר מחודש מייחסים לסגל לגיטימיות נמוכה בכ</w:t>
      </w:r>
      <w:r>
        <w:rPr>
          <w:rFonts w:ascii="Times New Roman" w:cs="Times New Roman" w:eastAsia="Times New Roman" w:hAnsi="Times New Roman"/>
          <w:sz w:val="24"/>
          <w:szCs w:val="24"/>
        </w:rPr>
        <w:t xml:space="preserve">-0.12</w:t>
      </w:r>
      <w:r>
        <w:rPr>
          <w:rFonts w:ascii="David" w:cs="David" w:eastAsia="David" w:hAnsi="David"/>
          <w:sz w:val="24"/>
          <w:szCs w:val="24"/>
          <w:rtl/>
        </w:rPr>
        <w:t xml:space="preserve"> נקודות, אך המשתנה מוסיף </w:t>
      </w:r>
      <w:r>
        <w:rPr>
          <w:rFonts w:ascii="Times New Roman" w:cs="Times New Roman" w:eastAsia="Times New Roman" w:hAnsi="Times New Roman"/>
          <w:sz w:val="24"/>
          <w:szCs w:val="24"/>
        </w:rPr>
        <w:t xml:space="preserve">0.2</w:t>
      </w:r>
      <w:r>
        <w:rPr>
          <w:rFonts w:ascii="David" w:cs="David" w:eastAsia="David" w:hAnsi="David"/>
          <w:sz w:val="24"/>
          <w:szCs w:val="24"/>
          <w:rtl/>
        </w:rPr>
        <w:t xml:space="preserve"> אחוזים בלבד להסבר השונות. ההשערה השנייה אוששה: הרווחה הנפשית היא המנבא החזק ביותר במודל, ותרומתה נשמרת בפיקוח על כל משתני הרקע. עשרה אחוזים של שונות מוסברת הם ערך בינוני, הדומה לגודל האפקטים שמצאו ברנטון-סמית ומקארתי </w:t>
      </w:r>
      <w:r>
        <w:rPr>
          <w:rFonts w:ascii="Times New Roman" w:cs="Times New Roman" w:eastAsia="Times New Roman" w:hAnsi="Times New Roman"/>
          <w:sz w:val="24"/>
          <w:szCs w:val="24"/>
        </w:rPr>
        <w:t xml:space="preserve">(Brunton-Smith &amp; McCarthy, 2016)</w:t>
      </w:r>
      <w:r>
        <w:rPr>
          <w:rFonts w:ascii="David" w:cs="David" w:eastAsia="David" w:hAnsi="David"/>
          <w:sz w:val="24"/>
          <w:szCs w:val="24"/>
          <w:rtl/>
        </w:rPr>
        <w:t xml:space="preserve"> למאפייני האסיר, ונמוך מה</w:t>
      </w:r>
      <w:r>
        <w:rPr>
          <w:rFonts w:ascii="Times New Roman" w:cs="Times New Roman" w:eastAsia="Times New Roman" w:hAnsi="Times New Roman"/>
          <w:sz w:val="24"/>
          <w:szCs w:val="24"/>
        </w:rPr>
        <w:t xml:space="preserve">-30</w:t>
      </w:r>
      <w:r>
        <w:rPr>
          <w:rFonts w:ascii="David" w:cs="David" w:eastAsia="David" w:hAnsi="David"/>
          <w:sz w:val="24"/>
          <w:szCs w:val="24"/>
          <w:rtl/>
        </w:rPr>
        <w:t xml:space="preserve"> אחוזים שהסביר המודל בסקר המקורי, שבו המשתנה המנובא היה שביעות רצון מפעילויות שיקום ולא לגיטימיות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w:t>
      </w:r>
    </w:p>
    <w:p>
      <w:pPr>
        <w:pStyle w:val="Heading2"/>
        <w:keepNext/>
        <w:bidi/>
        <w:spacing w:after="120" w:before="240" w:line="360"/>
        <w:jc w:val="right"/>
      </w:pPr>
      <w:r>
        <w:rPr>
          <w:rFonts w:ascii="David" w:cs="David" w:eastAsia="David" w:hAnsi="David"/>
          <w:b/>
          <w:bCs/>
          <w:sz w:val="28"/>
          <w:szCs w:val="28"/>
          <w:rtl/>
        </w:rPr>
        <w:t xml:space="preserve">הקשר בין ותק באגף ללגיטימיות</w:t>
      </w:r>
    </w:p>
    <w:p>
      <w:pPr>
        <w:bidi/>
        <w:spacing w:after="120" w:line="360"/>
        <w:ind w:firstLine="567"/>
        <w:jc w:val="both"/>
      </w:pPr>
      <w:r>
        <w:rPr>
          <w:rFonts w:ascii="David" w:cs="David" w:eastAsia="David" w:hAnsi="David"/>
          <w:sz w:val="24"/>
          <w:szCs w:val="24"/>
          <w:rtl/>
        </w:rPr>
        <w:t xml:space="preserve">כדי לבחון את השערה </w:t>
      </w:r>
      <w:r>
        <w:rPr>
          <w:rFonts w:ascii="Times New Roman" w:cs="Times New Roman" w:eastAsia="Times New Roman" w:hAnsi="Times New Roman"/>
          <w:sz w:val="24"/>
          <w:szCs w:val="24"/>
        </w:rPr>
        <w:t xml:space="preserve">3</w:t>
      </w:r>
      <w:r>
        <w:rPr>
          <w:rFonts w:ascii="David" w:cs="David" w:eastAsia="David" w:hAnsi="David"/>
          <w:sz w:val="24"/>
          <w:szCs w:val="24"/>
          <w:rtl/>
        </w:rPr>
        <w:t xml:space="preserve"> נערך ניתוח שונות חד-כיווני של הלגיטימיות והרווחה הנפשית לפי ארבע קטגוריות הוותק באגף, וכן מתאם ספירמן ומבחן </w:t>
      </w:r>
      <w:r>
        <w:rPr>
          <w:rFonts w:ascii="Times New Roman" w:cs="Times New Roman" w:eastAsia="Times New Roman" w:hAnsi="Times New Roman"/>
          <w:sz w:val="24"/>
          <w:szCs w:val="24"/>
        </w:rPr>
        <w:t xml:space="preserve">t</w:t>
      </w:r>
      <w:r>
        <w:rPr>
          <w:rFonts w:ascii="David" w:cs="David" w:eastAsia="David" w:hAnsi="David"/>
          <w:sz w:val="24"/>
          <w:szCs w:val="24"/>
          <w:rtl/>
        </w:rPr>
        <w:t xml:space="preserve"> לקידוד הבינארי. לוח </w:t>
      </w:r>
      <w:r>
        <w:rPr>
          <w:rFonts w:ascii="Times New Roman" w:cs="Times New Roman" w:eastAsia="Times New Roman" w:hAnsi="Times New Roman"/>
          <w:sz w:val="24"/>
          <w:szCs w:val="24"/>
        </w:rPr>
        <w:t xml:space="preserve">9</w:t>
      </w:r>
      <w:r>
        <w:rPr>
          <w:rFonts w:ascii="David" w:cs="David" w:eastAsia="David" w:hAnsi="David"/>
          <w:sz w:val="24"/>
          <w:szCs w:val="24"/>
          <w:rtl/>
        </w:rPr>
        <w:t xml:space="preserve"> מציג את התוצאות.</w:t>
      </w:r>
    </w:p>
    <w:p>
      <w:pPr>
        <w:keepNext/>
        <w:bidi/>
        <w:spacing w:after="80" w:before="200" w:line="360"/>
        <w:jc w:val="right"/>
      </w:pPr>
      <w:r>
        <w:rPr>
          <w:rFonts w:ascii="David" w:cs="David" w:eastAsia="David" w:hAnsi="David"/>
          <w:b/>
          <w:bCs/>
          <w:sz w:val="24"/>
          <w:szCs w:val="24"/>
          <w:rtl/>
        </w:rPr>
        <w:t xml:space="preserve">לוח </w:t>
      </w:r>
      <w:r>
        <w:rPr>
          <w:rFonts w:ascii="Times New Roman" w:cs="Times New Roman" w:eastAsia="Times New Roman" w:hAnsi="Times New Roman"/>
          <w:b/>
          <w:bCs/>
          <w:sz w:val="24"/>
          <w:szCs w:val="24"/>
        </w:rPr>
        <w:t xml:space="preserve">9</w:t>
      </w:r>
      <w:r>
        <w:rPr>
          <w:rFonts w:ascii="David" w:cs="David" w:eastAsia="David" w:hAnsi="David"/>
          <w:b/>
          <w:bCs/>
          <w:sz w:val="24"/>
          <w:szCs w:val="24"/>
          <w:rtl/>
        </w:rPr>
        <w:t xml:space="preserve">: לגיטימיות ורווחה נפשית לפי ותק באגף (שפוטים)</w:t>
      </w:r>
    </w:p>
    <w:tbl>
      <w:tblPr>
        <w:bidiVisual/>
        <w:tblW w:type="dxa" w:w="8500"/>
        <w:tblBorders>
          <w:top w:val="single" w:color="000000" w:sz="4"/>
          <w:left w:val="none" w:color="FFFFFF" w:sz="0"/>
          <w:bottom w:val="single" w:color="000000" w:sz="4"/>
          <w:right w:val="none" w:color="FFFFFF" w:sz="0"/>
          <w:insideH w:val="none" w:color="FFFFFF" w:sz="0"/>
          <w:insideV w:val="none" w:color="FFFFFF" w:sz="0"/>
        </w:tblBorders>
      </w:tblPr>
      <w:tblGrid>
        <w:gridCol w:w="2900"/>
        <w:gridCol w:w="1000"/>
        <w:gridCol w:w="2300"/>
        <w:gridCol w:w="2300"/>
      </w:tblGrid>
      <w:tr>
        <w:trPr>
          <w:cantSplit/>
          <w:tblHeader/>
        </w:trPr>
        <w:tc>
          <w:tcPr>
            <w:tcW w:type="dxa" w:w="2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ותק באגף</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N</w:t>
            </w:r>
          </w:p>
        </w:tc>
        <w:tc>
          <w:tcPr>
            <w:tcW w:type="dxa" w:w="2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לגיטימיות </w:t>
            </w:r>
            <w:r>
              <w:rPr>
                <w:rFonts w:ascii="Times New Roman" w:cs="Times New Roman" w:eastAsia="Times New Roman" w:hAnsi="Times New Roman"/>
                <w:b/>
                <w:bCs/>
                <w:sz w:val="22"/>
                <w:szCs w:val="22"/>
              </w:rPr>
              <w:t xml:space="preserve">M (SD)</w:t>
            </w:r>
          </w:p>
        </w:tc>
        <w:tc>
          <w:tcPr>
            <w:tcW w:type="dxa" w:w="2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רווחה נפשית </w:t>
            </w:r>
            <w:r>
              <w:rPr>
                <w:rFonts w:ascii="Times New Roman" w:cs="Times New Roman" w:eastAsia="Times New Roman" w:hAnsi="Times New Roman"/>
                <w:b/>
                <w:bCs/>
                <w:sz w:val="22"/>
                <w:szCs w:val="22"/>
              </w:rPr>
              <w:t xml:space="preserve">M (SD)</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פחות משבוע</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50</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4.10 (0.86)</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3.80 (0.77)</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שבוע עד חודש</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209</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4.39 (0.75)</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3.82 (0.90)</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חודש עד שלושה חודשים</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473</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4.19 (0.84)</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3.81 (0.87)</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מעל שלושה חודשים</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1,612</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4.24 (0.83)</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3.76 (0.87)</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F (3, 2340)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3.20, p = 0.022</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0.54, p = 0.657</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ספירמן </w:t>
            </w:r>
            <w:r>
              <w:rPr>
                <w:rFonts w:ascii="Times New Roman" w:cs="Times New Roman" w:eastAsia="Times New Roman" w:hAnsi="Times New Roman"/>
                <w:b w:val="false"/>
                <w:bCs w:val="false"/>
                <w:sz w:val="22"/>
                <w:szCs w:val="22"/>
              </w:rPr>
              <w:t xml:space="preserve">rs</w:t>
            </w:r>
            <w:r>
              <w:rPr>
                <w:rFonts w:ascii="David" w:cs="David" w:eastAsia="David" w:hAnsi="David"/>
                <w:b w:val="false"/>
                <w:bCs w:val="false"/>
                <w:sz w:val="22"/>
                <w:szCs w:val="22"/>
                <w:rtl/>
              </w:rPr>
              <w:t xml:space="preserve"> עם הוותק</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-0.003, p = 0.899</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-0.028, p = 0.169</w:t>
            </w:r>
          </w:p>
        </w:tc>
      </w:tr>
    </w:tbl>
    <w:p>
      <w:pPr>
        <w:bidi/>
        <w:spacing w:after="200" w:before="60" w:line="276"/>
        <w:jc w:val="right"/>
      </w:pPr>
      <w:r>
        <w:rPr>
          <w:rFonts w:ascii="David" w:cs="David" w:eastAsia="David" w:hAnsi="David"/>
          <w:sz w:val="20"/>
          <w:szCs w:val="20"/>
          <w:rtl/>
        </w:rPr>
        <w:t xml:space="preserve">הערה. מספרי הנבדקים בעמודת הלגיטימיות קטנים מעט בשל ערכים חסרים. מבחן </w:t>
      </w:r>
      <w:r>
        <w:rPr>
          <w:rFonts w:ascii="Times New Roman" w:cs="Times New Roman" w:eastAsia="Times New Roman" w:hAnsi="Times New Roman"/>
          <w:sz w:val="20"/>
          <w:szCs w:val="20"/>
        </w:rPr>
        <w:t xml:space="preserve">t</w:t>
      </w:r>
      <w:r>
        <w:rPr>
          <w:rFonts w:ascii="David" w:cs="David" w:eastAsia="David" w:hAnsi="David"/>
          <w:sz w:val="20"/>
          <w:szCs w:val="20"/>
          <w:rtl/>
        </w:rPr>
        <w:t xml:space="preserve"> לקידוד הבינארי (עד חודש לעומת יותר מחודש). לגיטימיות: </w:t>
      </w:r>
      <w:r>
        <w:rPr>
          <w:rFonts w:ascii="Times New Roman" w:cs="Times New Roman" w:eastAsia="Times New Roman" w:hAnsi="Times New Roman"/>
          <w:sz w:val="20"/>
          <w:szCs w:val="20"/>
        </w:rPr>
        <w:t xml:space="preserve">M = 4.33</w:t>
      </w:r>
      <w:r>
        <w:rPr>
          <w:rFonts w:ascii="David" w:cs="David" w:eastAsia="David" w:hAnsi="David"/>
          <w:sz w:val="20"/>
          <w:szCs w:val="20"/>
          <w:rtl/>
        </w:rPr>
        <w:t xml:space="preserve"> לעומת </w:t>
      </w:r>
      <w:r>
        <w:rPr>
          <w:rFonts w:ascii="Times New Roman" w:cs="Times New Roman" w:eastAsia="Times New Roman" w:hAnsi="Times New Roman"/>
          <w:sz w:val="20"/>
          <w:szCs w:val="20"/>
        </w:rPr>
        <w:t xml:space="preserve">M = 4.23, t(336) = 1.97, p = 0.050</w:t>
      </w:r>
      <w:r>
        <w:rPr>
          <w:rFonts w:ascii="David" w:cs="David" w:eastAsia="David" w:hAnsi="David"/>
          <w:sz w:val="20"/>
          <w:szCs w:val="20"/>
          <w:rtl/>
        </w:rPr>
        <w:t xml:space="preserve">. רווחה נפשית: </w:t>
      </w:r>
      <w:r>
        <w:rPr>
          <w:rFonts w:ascii="Times New Roman" w:cs="Times New Roman" w:eastAsia="Times New Roman" w:hAnsi="Times New Roman"/>
          <w:sz w:val="20"/>
          <w:szCs w:val="20"/>
        </w:rPr>
        <w:t xml:space="preserve">M = 3.82</w:t>
      </w:r>
      <w:r>
        <w:rPr>
          <w:rFonts w:ascii="David" w:cs="David" w:eastAsia="David" w:hAnsi="David"/>
          <w:sz w:val="20"/>
          <w:szCs w:val="20"/>
          <w:rtl/>
        </w:rPr>
        <w:t xml:space="preserve"> לעומת </w:t>
      </w:r>
      <w:r>
        <w:rPr>
          <w:rFonts w:ascii="Times New Roman" w:cs="Times New Roman" w:eastAsia="Times New Roman" w:hAnsi="Times New Roman"/>
          <w:sz w:val="20"/>
          <w:szCs w:val="20"/>
        </w:rPr>
        <w:t xml:space="preserve">M = 3.78, t(350) = 0.74, p = 0.462</w:t>
      </w:r>
      <w:r>
        <w:rPr>
          <w:rFonts w:ascii="David" w:cs="David" w:eastAsia="David" w:hAnsi="David"/>
          <w:sz w:val="20"/>
          <w:szCs w:val="20"/>
          <w:rtl/>
        </w:rPr>
        <w:t xml:space="preserve">.</w:t>
      </w:r>
    </w:p>
    <w:p>
      <w:pPr>
        <w:bidi/>
        <w:spacing w:after="120" w:line="360"/>
        <w:ind w:firstLine="567"/>
        <w:jc w:val="both"/>
      </w:pPr>
      <w:r>
        <w:rPr>
          <w:rFonts w:ascii="David" w:cs="David" w:eastAsia="David" w:hAnsi="David"/>
          <w:sz w:val="24"/>
          <w:szCs w:val="24"/>
          <w:rtl/>
        </w:rPr>
        <w:t xml:space="preserve">מלוח </w:t>
      </w:r>
      <w:r>
        <w:rPr>
          <w:rFonts w:ascii="Times New Roman" w:cs="Times New Roman" w:eastAsia="Times New Roman" w:hAnsi="Times New Roman"/>
          <w:sz w:val="24"/>
          <w:szCs w:val="24"/>
        </w:rPr>
        <w:t xml:space="preserve">9</w:t>
      </w:r>
      <w:r>
        <w:rPr>
          <w:rFonts w:ascii="David" w:cs="David" w:eastAsia="David" w:hAnsi="David"/>
          <w:sz w:val="24"/>
          <w:szCs w:val="24"/>
          <w:rtl/>
        </w:rPr>
        <w:t xml:space="preserve"> עולה תמונה לא אחידה. ניתוח השונות של הלגיטימיות מובהק, אך ההבדלים בין הקבוצות קטנים ואינם מסודרים בכיוון אחד: הלגיטימיות נמוכה ביותר בשבוע הראשון (</w:t>
      </w:r>
      <w:r>
        <w:rPr>
          <w:rFonts w:ascii="Times New Roman" w:cs="Times New Roman" w:eastAsia="Times New Roman" w:hAnsi="Times New Roman"/>
          <w:sz w:val="24"/>
          <w:szCs w:val="24"/>
        </w:rPr>
        <w:t xml:space="preserve">4.10</w:t>
      </w:r>
      <w:r>
        <w:rPr>
          <w:rFonts w:ascii="David" w:cs="David" w:eastAsia="David" w:hAnsi="David"/>
          <w:sz w:val="24"/>
          <w:szCs w:val="24"/>
          <w:rtl/>
        </w:rPr>
        <w:t xml:space="preserve">), עולה לשיא בין שבוע לחודש (</w:t>
      </w:r>
      <w:r>
        <w:rPr>
          <w:rFonts w:ascii="Times New Roman" w:cs="Times New Roman" w:eastAsia="Times New Roman" w:hAnsi="Times New Roman"/>
          <w:sz w:val="24"/>
          <w:szCs w:val="24"/>
        </w:rPr>
        <w:t xml:space="preserve">4.39</w:t>
      </w:r>
      <w:r>
        <w:rPr>
          <w:rFonts w:ascii="David" w:cs="David" w:eastAsia="David" w:hAnsi="David"/>
          <w:sz w:val="24"/>
          <w:szCs w:val="24"/>
          <w:rtl/>
        </w:rPr>
        <w:t xml:space="preserve">), יורדת בין חודש לשלושה חודשים (</w:t>
      </w:r>
      <w:r>
        <w:rPr>
          <w:rFonts w:ascii="Times New Roman" w:cs="Times New Roman" w:eastAsia="Times New Roman" w:hAnsi="Times New Roman"/>
          <w:sz w:val="24"/>
          <w:szCs w:val="24"/>
        </w:rPr>
        <w:t xml:space="preserve">4.19</w:t>
      </w:r>
      <w:r>
        <w:rPr>
          <w:rFonts w:ascii="David" w:cs="David" w:eastAsia="David" w:hAnsi="David"/>
          <w:sz w:val="24"/>
          <w:szCs w:val="24"/>
          <w:rtl/>
        </w:rPr>
        <w:t xml:space="preserve">) ומתייצבת לאחר מכן (</w:t>
      </w:r>
      <w:r>
        <w:rPr>
          <w:rFonts w:ascii="Times New Roman" w:cs="Times New Roman" w:eastAsia="Times New Roman" w:hAnsi="Times New Roman"/>
          <w:sz w:val="24"/>
          <w:szCs w:val="24"/>
        </w:rPr>
        <w:t xml:space="preserve">4.24</w:t>
      </w:r>
      <w:r>
        <w:rPr>
          <w:rFonts w:ascii="David" w:cs="David" w:eastAsia="David" w:hAnsi="David"/>
          <w:sz w:val="24"/>
          <w:szCs w:val="24"/>
          <w:rtl/>
        </w:rPr>
        <w:t xml:space="preserve">). מתאם ספירמן בין הוותק ללגיטימיות אפסי, ומבחן </w:t>
      </w:r>
      <w:r>
        <w:rPr>
          <w:rFonts w:ascii="Times New Roman" w:cs="Times New Roman" w:eastAsia="Times New Roman" w:hAnsi="Times New Roman"/>
          <w:sz w:val="24"/>
          <w:szCs w:val="24"/>
        </w:rPr>
        <w:t xml:space="preserve">t</w:t>
      </w:r>
      <w:r>
        <w:rPr>
          <w:rFonts w:ascii="David" w:cs="David" w:eastAsia="David" w:hAnsi="David"/>
          <w:sz w:val="24"/>
          <w:szCs w:val="24"/>
          <w:rtl/>
        </w:rPr>
        <w:t xml:space="preserve"> לקידוד הבינארי מובהק בגבול בלבד. הרווחה הנפשית אינה נבדלת כלל לפי ותק. ההשערה השלישית לא אוששה: אין ירידה עקבית בלגיטימיות עם הוותק באגף, אלא תנודה קטנה בחודש הראשון ויציבות אחריו. דפוס זה מתיישב עם ממצאי ליבלינג ומרונה </w:t>
      </w:r>
      <w:r>
        <w:rPr>
          <w:rFonts w:ascii="Times New Roman" w:cs="Times New Roman" w:eastAsia="Times New Roman" w:hAnsi="Times New Roman"/>
          <w:sz w:val="24"/>
          <w:szCs w:val="24"/>
        </w:rPr>
        <w:t xml:space="preserve">(Liebling &amp; Maruna, 2005)</w:t>
      </w:r>
      <w:r>
        <w:rPr>
          <w:rFonts w:ascii="David" w:cs="David" w:eastAsia="David" w:hAnsi="David"/>
          <w:sz w:val="24"/>
          <w:szCs w:val="24"/>
          <w:rtl/>
        </w:rPr>
        <w:t xml:space="preserve">, שלפיהם השבועות הראשונים הם תקופת המעבר הקשה, ואילו לאחריה מתייצבת ההסתגלות. הוא אינו מתיישב עם הירידה ההדרגתית בלגיטימיות שתיארו פרנקה ואחרים </w:t>
      </w:r>
      <w:r>
        <w:rPr>
          <w:rFonts w:ascii="Times New Roman" w:cs="Times New Roman" w:eastAsia="Times New Roman" w:hAnsi="Times New Roman"/>
          <w:sz w:val="24"/>
          <w:szCs w:val="24"/>
        </w:rPr>
        <w:t xml:space="preserve">(Franke et al., 2010)</w:t>
      </w:r>
      <w:r>
        <w:rPr>
          <w:rFonts w:ascii="David" w:cs="David" w:eastAsia="David" w:hAnsi="David"/>
          <w:sz w:val="24"/>
          <w:szCs w:val="24"/>
          <w:rtl/>
        </w:rPr>
        <w:t xml:space="preserve">, אולי משום שמערך החתך משווה אסירים שונים ולא עוקב אחר אותם אסירים, ומשום שמי ששוהה באגף זמן רב הוא גם מי שהסתגל אליו והורשה להישאר בו.</w:t>
      </w:r>
    </w:p>
    <w:p>
      <w:pPr>
        <w:pStyle w:val="Heading1"/>
        <w:pageBreakBefore/>
        <w:bidi/>
        <w:spacing w:after="240" w:before="0" w:line="360"/>
        <w:jc w:val="right"/>
      </w:pPr>
      <w:r>
        <w:rPr>
          <w:rFonts w:ascii="David" w:cs="David" w:eastAsia="David" w:hAnsi="David"/>
          <w:b/>
          <w:bCs/>
          <w:sz w:val="32"/>
          <w:szCs w:val="32"/>
          <w:rtl/>
        </w:rPr>
        <w:t xml:space="preserve">דיון</w:t>
      </w:r>
    </w:p>
    <w:p>
      <w:pPr>
        <w:pStyle w:val="Heading2"/>
        <w:keepNext/>
        <w:bidi/>
        <w:spacing w:after="120" w:before="240" w:line="360"/>
        <w:jc w:val="right"/>
      </w:pPr>
      <w:r>
        <w:rPr>
          <w:rFonts w:ascii="David" w:cs="David" w:eastAsia="David" w:hAnsi="David"/>
          <w:b/>
          <w:bCs/>
          <w:sz w:val="28"/>
          <w:szCs w:val="28"/>
          <w:rtl/>
        </w:rPr>
        <w:t xml:space="preserve">רקע למחקר</w:t>
      </w:r>
    </w:p>
    <w:p>
      <w:pPr>
        <w:bidi/>
        <w:spacing w:after="120" w:line="360"/>
        <w:ind w:firstLine="567"/>
        <w:jc w:val="both"/>
      </w:pPr>
      <w:r>
        <w:rPr>
          <w:rFonts w:ascii="David" w:cs="David" w:eastAsia="David" w:hAnsi="David"/>
          <w:sz w:val="24"/>
          <w:szCs w:val="24"/>
          <w:rtl/>
        </w:rPr>
        <w:t xml:space="preserve">המחקר ביקש לבחון באיזו מידה קיים קשר בין רווחה נפשית לבין תפיסת הלגיטימיות של סגל הכליאה בקרב אסירים שפוטים בישראל, ובאיזו מידה הלגיטימיות קשורה לוותק באגף. הוא נשען על המודל של טיילר </w:t>
      </w:r>
      <w:r>
        <w:rPr>
          <w:rFonts w:ascii="Times New Roman" w:cs="Times New Roman" w:eastAsia="Times New Roman" w:hAnsi="Times New Roman"/>
          <w:sz w:val="24"/>
          <w:szCs w:val="24"/>
        </w:rPr>
        <w:t xml:space="preserve">(Tyler, 1990)</w:t>
      </w:r>
      <w:r>
        <w:rPr>
          <w:rFonts w:ascii="David" w:cs="David" w:eastAsia="David" w:hAnsi="David"/>
          <w:sz w:val="24"/>
          <w:szCs w:val="24"/>
          <w:rtl/>
        </w:rPr>
        <w:t xml:space="preserve">, שלפיו הציות לסמכות נובע מתפיסתה כלגיטימית, ועל ספרות ההסתגלות למאסר שתיארה את הפגיעה ברווחה הנפשית כחלק בלתי נפרד מחוויית הכליאה </w:t>
      </w:r>
      <w:r>
        <w:rPr>
          <w:rFonts w:ascii="Times New Roman" w:cs="Times New Roman" w:eastAsia="Times New Roman" w:hAnsi="Times New Roman"/>
          <w:sz w:val="24"/>
          <w:szCs w:val="24"/>
        </w:rPr>
        <w:t xml:space="preserve">(Sykes, 1958; Liebling &amp; Maruna, 2005)</w:t>
      </w:r>
      <w:r>
        <w:rPr>
          <w:rFonts w:ascii="David" w:cs="David" w:eastAsia="David" w:hAnsi="David"/>
          <w:sz w:val="24"/>
          <w:szCs w:val="24"/>
          <w:rtl/>
        </w:rPr>
        <w:t xml:space="preserve">. הנתונים נלקחו מקובץ סינתטי המבוסס על סקר תנאי המחיה של שירות בתי הסוהר (ועקנין, </w:t>
      </w:r>
      <w:r>
        <w:rPr>
          <w:rFonts w:ascii="Times New Roman" w:cs="Times New Roman" w:eastAsia="Times New Roman" w:hAnsi="Times New Roman"/>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w:t>
      </w:r>
    </w:p>
    <w:p>
      <w:pPr>
        <w:bidi/>
        <w:spacing w:after="120" w:line="360"/>
        <w:ind w:firstLine="567"/>
        <w:jc w:val="both"/>
      </w:pPr>
      <w:r>
        <w:rPr>
          <w:rFonts w:ascii="David" w:cs="David" w:eastAsia="David" w:hAnsi="David"/>
          <w:sz w:val="24"/>
          <w:szCs w:val="24"/>
          <w:rtl/>
        </w:rPr>
        <w:t xml:space="preserve">שלושה ממצאים עיקריים עלו. ראשית, נמצא קשר חיובי מובהק בעוצמה בינונית בין רווחה נפשית ללגיטימיות, שנשמר בפיקוח על גיל, לאום, מספר מאסרים וותק. שנית, הרווחה הנפשית מסבירה כעשרה אחוזים מהשונות בלגיטימיות, והגיל מוסיף תרומה קטנה. שלישית, הוותק באגף אינו קשור ללגיטימיות באופן עקבי. בפסקאות הבאות הממצאים נקשרים לספרות שנסקרה, לפי הנושאים המרכזיים.</w:t>
      </w:r>
    </w:p>
    <w:p>
      <w:pPr>
        <w:pStyle w:val="Heading2"/>
        <w:keepNext/>
        <w:bidi/>
        <w:spacing w:after="120" w:before="240" w:line="360"/>
        <w:jc w:val="right"/>
      </w:pPr>
      <w:r>
        <w:rPr>
          <w:rFonts w:ascii="David" w:cs="David" w:eastAsia="David" w:hAnsi="David"/>
          <w:b/>
          <w:bCs/>
          <w:sz w:val="28"/>
          <w:szCs w:val="28"/>
          <w:rtl/>
        </w:rPr>
        <w:t xml:space="preserve">רווחה נפשית ולגיטימיות</w:t>
      </w:r>
    </w:p>
    <w:p>
      <w:pPr>
        <w:bidi/>
        <w:spacing w:after="120" w:line="360"/>
        <w:ind w:firstLine="567"/>
        <w:jc w:val="both"/>
      </w:pPr>
      <w:r>
        <w:rPr>
          <w:rFonts w:ascii="David" w:cs="David" w:eastAsia="David" w:hAnsi="David"/>
          <w:sz w:val="24"/>
          <w:szCs w:val="24"/>
          <w:rtl/>
        </w:rPr>
        <w:t xml:space="preserve">הקשר החיובי שנמצא עולה בקנה אחד עם המחקר ההולנדי, שבו יחס הוגן מצד הסוהרים ניבא פחות בעיות נפשיות בהמשך המאסר </w:t>
      </w:r>
      <w:r>
        <w:rPr>
          <w:rFonts w:ascii="Times New Roman" w:cs="Times New Roman" w:eastAsia="Times New Roman" w:hAnsi="Times New Roman"/>
          <w:sz w:val="24"/>
          <w:szCs w:val="24"/>
        </w:rPr>
        <w:t xml:space="preserve">(Beijersbergen et al., 2014)</w:t>
      </w:r>
      <w:r>
        <w:rPr>
          <w:rFonts w:ascii="David" w:cs="David" w:eastAsia="David" w:hAnsi="David"/>
          <w:sz w:val="24"/>
          <w:szCs w:val="24"/>
          <w:rtl/>
        </w:rPr>
        <w:t xml:space="preserve">, ועם המחקר האוסטרלי, שבו צדק פרוצדורלי ניבא רווחה גבוהה יותר דרך איכות היחסים עם הסגל </w:t>
      </w:r>
      <w:r>
        <w:rPr>
          <w:rFonts w:ascii="Times New Roman" w:cs="Times New Roman" w:eastAsia="Times New Roman" w:hAnsi="Times New Roman"/>
          <w:sz w:val="24"/>
          <w:szCs w:val="24"/>
        </w:rPr>
        <w:t xml:space="preserve">(Sargeant et al., 2026)</w:t>
      </w:r>
      <w:r>
        <w:rPr>
          <w:rFonts w:ascii="David" w:cs="David" w:eastAsia="David" w:hAnsi="David"/>
          <w:sz w:val="24"/>
          <w:szCs w:val="24"/>
          <w:rtl/>
        </w:rPr>
        <w:t xml:space="preserve">. המחקר הנוכחי מוסיף לכך את הכיוון ההפוך: שפוטים שרווחתם הנפשית גבוהה יותר תופסים את הסגל כלגיטימי יותר. שני הכיוונים אינם סותרים. סביר שמדובר במעגל שבו יחס הוגן משפר את הרווחה, ורווחה גבוהה יותר מאפשרת לאסיר לפרש את התנהגות הסגל באור פחות עוין ולפנות אליו כשקשה לו. העובדה שהפריט הקשור ביותר לרווחה הוא דווקא האפשרות לדבר עם הסוהרים כשמודאגים או עצובים מחזקת פירוש זה, ומתיישבת עם הממצא שיחסי אמון עם הסגל הם המרכיב שמלווה את האסיר גם אחרי השחרור </w:t>
      </w:r>
      <w:r>
        <w:rPr>
          <w:rFonts w:ascii="Times New Roman" w:cs="Times New Roman" w:eastAsia="Times New Roman" w:hAnsi="Times New Roman"/>
          <w:sz w:val="24"/>
          <w:szCs w:val="24"/>
        </w:rPr>
        <w:t xml:space="preserve">(Horowitz &amp; Hyatt, 2025)</w:t>
      </w:r>
      <w:r>
        <w:rPr>
          <w:rFonts w:ascii="David" w:cs="David" w:eastAsia="David" w:hAnsi="David"/>
          <w:sz w:val="24"/>
          <w:szCs w:val="24"/>
          <w:rtl/>
        </w:rPr>
        <w:t xml:space="preserve">.</w:t>
      </w:r>
    </w:p>
    <w:p>
      <w:pPr>
        <w:bidi/>
        <w:spacing w:after="120" w:line="360"/>
        <w:ind w:firstLine="567"/>
        <w:jc w:val="both"/>
      </w:pPr>
      <w:r>
        <w:rPr>
          <w:rFonts w:ascii="David" w:cs="David" w:eastAsia="David" w:hAnsi="David"/>
          <w:sz w:val="24"/>
          <w:szCs w:val="24"/>
          <w:rtl/>
        </w:rPr>
        <w:t xml:space="preserve">הממצא מתיישב גם עם הטענה של ליבלינג </w:t>
      </w:r>
      <w:r>
        <w:rPr>
          <w:rFonts w:ascii="Times New Roman" w:cs="Times New Roman" w:eastAsia="Times New Roman" w:hAnsi="Times New Roman"/>
          <w:sz w:val="24"/>
          <w:szCs w:val="24"/>
        </w:rPr>
        <w:t xml:space="preserve">(Liebling, 2004)</w:t>
      </w:r>
      <w:r>
        <w:rPr>
          <w:rFonts w:ascii="David" w:cs="David" w:eastAsia="David" w:hAnsi="David"/>
          <w:sz w:val="24"/>
          <w:szCs w:val="24"/>
          <w:rtl/>
        </w:rPr>
        <w:t xml:space="preserve"> שממדים כמו כבוד, אנושיות ויחסים עם הסגל מתואמים עם רמת המצוקה של האסירים, ועם ממצאיהם של פרנקה ואחרים </w:t>
      </w:r>
      <w:r>
        <w:rPr>
          <w:rFonts w:ascii="Times New Roman" w:cs="Times New Roman" w:eastAsia="Times New Roman" w:hAnsi="Times New Roman"/>
          <w:sz w:val="24"/>
          <w:szCs w:val="24"/>
        </w:rPr>
        <w:t xml:space="preserve">(Franke et al., 2010)</w:t>
      </w:r>
      <w:r>
        <w:rPr>
          <w:rFonts w:ascii="David" w:cs="David" w:eastAsia="David" w:hAnsi="David"/>
          <w:sz w:val="24"/>
          <w:szCs w:val="24"/>
          <w:rtl/>
        </w:rPr>
        <w:t xml:space="preserve">, שלפיהם דלות סביבתית וחוויות שליליות הן שמכרסמות בלגיטימיות. המדרג שנמצא בלוח </w:t>
      </w:r>
      <w:r>
        <w:rPr>
          <w:rFonts w:ascii="Times New Roman" w:cs="Times New Roman" w:eastAsia="Times New Roman" w:hAnsi="Times New Roman"/>
          <w:sz w:val="24"/>
          <w:szCs w:val="24"/>
        </w:rPr>
        <w:t xml:space="preserve">7,</w:t>
      </w:r>
      <w:r>
        <w:rPr>
          <w:rFonts w:ascii="David" w:cs="David" w:eastAsia="David" w:hAnsi="David"/>
          <w:sz w:val="24"/>
          <w:szCs w:val="24"/>
          <w:rtl/>
        </w:rPr>
        <w:t xml:space="preserve"> פער של כ</w:t>
      </w:r>
      <w:r>
        <w:rPr>
          <w:rFonts w:ascii="Times New Roman" w:cs="Times New Roman" w:eastAsia="Times New Roman" w:hAnsi="Times New Roman"/>
          <w:sz w:val="24"/>
          <w:szCs w:val="24"/>
        </w:rPr>
        <w:t xml:space="preserve">-0.7</w:t>
      </w:r>
      <w:r>
        <w:rPr>
          <w:rFonts w:ascii="David" w:cs="David" w:eastAsia="David" w:hAnsi="David"/>
          <w:sz w:val="24"/>
          <w:szCs w:val="24"/>
          <w:rtl/>
        </w:rPr>
        <w:t xml:space="preserve"> נקודות ברווחה בין השפוטים ברמת הלגיטימיות הנמוכה לאלו ברמה הגבוהה, מקבל משמעות מעשית לאור הסף שזיהו אוטי וליבלינג </w:t>
      </w:r>
      <w:r>
        <w:rPr>
          <w:rFonts w:ascii="Times New Roman" w:cs="Times New Roman" w:eastAsia="Times New Roman" w:hAnsi="Times New Roman"/>
          <w:sz w:val="24"/>
          <w:szCs w:val="24"/>
        </w:rPr>
        <w:t xml:space="preserve">(Auty &amp; Liebling, 2024)</w:t>
      </w:r>
      <w:r>
        <w:rPr>
          <w:rFonts w:ascii="David" w:cs="David" w:eastAsia="David" w:hAnsi="David"/>
          <w:sz w:val="24"/>
          <w:szCs w:val="24"/>
          <w:rtl/>
        </w:rPr>
        <w:t xml:space="preserve">: מתחת לרמה מסוימת של יחסים בין סגל לאסירים עולים באופן חד שיעורי הפגיעה העצמית והאלימות. הממצא האמריקני שלפיו צדק פרוצדורלי קשור לפחות מחשבות אובדניות </w:t>
      </w:r>
      <w:r>
        <w:rPr>
          <w:rFonts w:ascii="Times New Roman" w:cs="Times New Roman" w:eastAsia="Times New Roman" w:hAnsi="Times New Roman"/>
          <w:sz w:val="24"/>
          <w:szCs w:val="24"/>
        </w:rPr>
        <w:t xml:space="preserve">(Abderhalden &amp; Alward, 2024)</w:t>
      </w:r>
      <w:r>
        <w:rPr>
          <w:rFonts w:ascii="David" w:cs="David" w:eastAsia="David" w:hAnsi="David"/>
          <w:sz w:val="24"/>
          <w:szCs w:val="24"/>
          <w:rtl/>
        </w:rPr>
        <w:t xml:space="preserve"> מצביע על אותו כיוון.</w:t>
      </w:r>
    </w:p>
    <w:p>
      <w:pPr>
        <w:bidi/>
        <w:spacing w:after="120" w:line="360"/>
        <w:ind w:firstLine="567"/>
        <w:jc w:val="both"/>
      </w:pPr>
      <w:r>
        <w:rPr>
          <w:rFonts w:ascii="David" w:cs="David" w:eastAsia="David" w:hAnsi="David"/>
          <w:sz w:val="24"/>
          <w:szCs w:val="24"/>
          <w:rtl/>
        </w:rPr>
        <w:t xml:space="preserve">עוצמת הקשר, בינונית ולא גבוהה, ראויה להתייחסות. הרווחה הנפשית מסבירה עשרה אחוזים מהשונות בלגיטימיות, ורוב השונות מוסברת על ידי גורמים אחרים. ברנטון-סמית ומקארתי </w:t>
      </w:r>
      <w:r>
        <w:rPr>
          <w:rFonts w:ascii="Times New Roman" w:cs="Times New Roman" w:eastAsia="Times New Roman" w:hAnsi="Times New Roman"/>
          <w:sz w:val="24"/>
          <w:szCs w:val="24"/>
        </w:rPr>
        <w:t xml:space="preserve">(Brunton-Smith &amp; McCarthy, 2016)</w:t>
      </w:r>
      <w:r>
        <w:rPr>
          <w:rFonts w:ascii="David" w:cs="David" w:eastAsia="David" w:hAnsi="David"/>
          <w:sz w:val="24"/>
          <w:szCs w:val="24"/>
          <w:rtl/>
        </w:rPr>
        <w:t xml:space="preserve"> הראו שהמנבא החזק ביותר של לגיטימיות הוא ההוגנות הפרוצדורלית עצמה, כלומר האופן שבו הסגל מקבל החלטות ומסביר אותן, ושחלק מהשונות נמצא ברמת בית הסוהר ולא ברמת האסיר. בייארסברגן ואחרים </w:t>
      </w:r>
      <w:r>
        <w:rPr>
          <w:rFonts w:ascii="Times New Roman" w:cs="Times New Roman" w:eastAsia="Times New Roman" w:hAnsi="Times New Roman"/>
          <w:sz w:val="24"/>
          <w:szCs w:val="24"/>
        </w:rPr>
        <w:t xml:space="preserve">(Beijersbergen et al., 2015)</w:t>
      </w:r>
      <w:r>
        <w:rPr>
          <w:rFonts w:ascii="David" w:cs="David" w:eastAsia="David" w:hAnsi="David"/>
          <w:sz w:val="24"/>
          <w:szCs w:val="24"/>
          <w:rtl/>
        </w:rPr>
        <w:t xml:space="preserve"> הוסיפו שמאפייני הסגל ביחידה משפיעים על תפיסת ההוגנות. בקובץ הסינתטי לא ניתן להפריד בין בתי סוהר ובין אגפים, ולכן חלק זה של השונות נותר מחוץ למודל. בסקר המקורי הסביר המודל </w:t>
      </w:r>
      <w:r>
        <w:rPr>
          <w:rFonts w:ascii="Times New Roman" w:cs="Times New Roman" w:eastAsia="Times New Roman" w:hAnsi="Times New Roman"/>
          <w:sz w:val="24"/>
          <w:szCs w:val="24"/>
        </w:rPr>
        <w:t xml:space="preserve">30</w:t>
      </w:r>
      <w:r>
        <w:rPr>
          <w:rFonts w:ascii="David" w:cs="David" w:eastAsia="David" w:hAnsi="David"/>
          <w:sz w:val="24"/>
          <w:szCs w:val="24"/>
          <w:rtl/>
        </w:rPr>
        <w:t xml:space="preserve"> אחוזים משביעות הרצון מפעילויות השיקום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אך שם המנבא המרכזי היה שביעות הרצון מתנאי המחיה, שהיא קרובה מושגית למשתנה המנובא יותר משהרווחה הנפשית קרובה ללגיטימיות.</w:t>
      </w:r>
    </w:p>
    <w:p>
      <w:pPr>
        <w:pStyle w:val="Heading2"/>
        <w:keepNext/>
        <w:bidi/>
        <w:spacing w:after="120" w:before="240" w:line="360"/>
        <w:jc w:val="right"/>
      </w:pPr>
      <w:r>
        <w:rPr>
          <w:rFonts w:ascii="David" w:cs="David" w:eastAsia="David" w:hAnsi="David"/>
          <w:b/>
          <w:bCs/>
          <w:sz w:val="28"/>
          <w:szCs w:val="28"/>
          <w:rtl/>
        </w:rPr>
        <w:t xml:space="preserve">גיל, לאום ומספר מאסרים</w:t>
      </w:r>
    </w:p>
    <w:p>
      <w:pPr>
        <w:bidi/>
        <w:spacing w:after="120" w:line="360"/>
        <w:ind w:firstLine="567"/>
        <w:jc w:val="both"/>
      </w:pPr>
      <w:r>
        <w:rPr>
          <w:rFonts w:ascii="David" w:cs="David" w:eastAsia="David" w:hAnsi="David"/>
          <w:sz w:val="24"/>
          <w:szCs w:val="24"/>
          <w:rtl/>
        </w:rPr>
        <w:t xml:space="preserve">הגיל נמצא קשור ללגיטימיות בכיוון חיובי ולרווחה בכיוון שלילי: שפוטים מבוגרים יותר מייחסים לסגל לגיטימיות גבוהה מעט יותר, אך מדווחים על רווחה נפשית נמוכה יותר. שני הממצאים מתיישבים עם הספרות. בסקר המקורי כשליש מהמשתתפים היו מעל גיל </w:t>
      </w:r>
      <w:r>
        <w:rPr>
          <w:rFonts w:ascii="Times New Roman" w:cs="Times New Roman" w:eastAsia="Times New Roman" w:hAnsi="Times New Roman"/>
          <w:sz w:val="24"/>
          <w:szCs w:val="24"/>
        </w:rPr>
        <w:t xml:space="preserve">40,</w:t>
      </w:r>
      <w:r>
        <w:rPr>
          <w:rFonts w:ascii="David" w:cs="David" w:eastAsia="David" w:hAnsi="David"/>
          <w:sz w:val="24"/>
          <w:szCs w:val="24"/>
          <w:rtl/>
        </w:rPr>
        <w:t xml:space="preserve"> והזדקנות אוכלוסיית האסירים מעלה את חשיבות שאלות הבריאות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האצין ומשקו </w:t>
      </w:r>
      <w:r>
        <w:rPr>
          <w:rFonts w:ascii="Times New Roman" w:cs="Times New Roman" w:eastAsia="Times New Roman" w:hAnsi="Times New Roman"/>
          <w:sz w:val="24"/>
          <w:szCs w:val="24"/>
        </w:rPr>
        <w:t xml:space="preserve">(Hacin &amp; Meško, 2018)</w:t>
      </w:r>
      <w:r>
        <w:rPr>
          <w:rFonts w:ascii="David" w:cs="David" w:eastAsia="David" w:hAnsi="David"/>
          <w:sz w:val="24"/>
          <w:szCs w:val="24"/>
          <w:rtl/>
        </w:rPr>
        <w:t xml:space="preserve"> מצאו שאסירים צעירים נוטים יותר לראות בציות עניין אינסטרומנטלי, ואילו המבוגרים מפתחים יחס פרגמטי יותר לסגל. חוסר ההבדל בין יהודים ללא יהודים חוזר על הממצא בסקר המקורי, שבו לא נמצא הבדל מובהק בלגיטימיות, בבריאות ובטיפול הרפואי בין שתי הקבוצות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מספר המאסרים לא נמצא קשור ללגיטימיות, ומכאן שהתמונה שלפיה אסירים חוזרים מפתחים ציניות כלפי המערכת אינה מקבלת תמיכה בנתונים אלו.</w:t>
      </w:r>
    </w:p>
    <w:p>
      <w:pPr>
        <w:pStyle w:val="Heading2"/>
        <w:keepNext/>
        <w:bidi/>
        <w:spacing w:after="120" w:before="240" w:line="360"/>
        <w:jc w:val="right"/>
      </w:pPr>
      <w:r>
        <w:rPr>
          <w:rFonts w:ascii="David" w:cs="David" w:eastAsia="David" w:hAnsi="David"/>
          <w:b/>
          <w:bCs/>
          <w:sz w:val="28"/>
          <w:szCs w:val="28"/>
          <w:rtl/>
        </w:rPr>
        <w:t xml:space="preserve">ותק באגף והסתגלות</w:t>
      </w:r>
    </w:p>
    <w:p>
      <w:pPr>
        <w:bidi/>
        <w:spacing w:after="120" w:line="360"/>
        <w:ind w:firstLine="567"/>
        <w:jc w:val="both"/>
      </w:pPr>
      <w:r>
        <w:rPr>
          <w:rFonts w:ascii="David" w:cs="David" w:eastAsia="David" w:hAnsi="David"/>
          <w:sz w:val="24"/>
          <w:szCs w:val="24"/>
          <w:rtl/>
        </w:rPr>
        <w:t xml:space="preserve">ההשערה שהלגיטימיות תפחת עם הוותק לא אוששה. ניתן להסביר את הדפוס שנמצא, שפל בשבוע הראשון, שיא בין שבוע לחודש ויציבות לאחר מכן, בשתי דרכים. ראשית, ליבלינג ומרונה </w:t>
      </w:r>
      <w:r>
        <w:rPr>
          <w:rFonts w:ascii="Times New Roman" w:cs="Times New Roman" w:eastAsia="Times New Roman" w:hAnsi="Times New Roman"/>
          <w:sz w:val="24"/>
          <w:szCs w:val="24"/>
        </w:rPr>
        <w:t xml:space="preserve">(Liebling &amp; Maruna, 2005)</w:t>
      </w:r>
      <w:r>
        <w:rPr>
          <w:rFonts w:ascii="David" w:cs="David" w:eastAsia="David" w:hAnsi="David"/>
          <w:sz w:val="24"/>
          <w:szCs w:val="24"/>
          <w:rtl/>
        </w:rPr>
        <w:t xml:space="preserve"> תיארו את תקופת הקליטה כתקופת המעבר הקשה, שבה האסיר עדיין אינו מכיר את הסגל ואת כללי האגף, ולאחריה מתייצבת ההסתגלות. הלגיטימיות הנמוכה בשבוע הראשון והעלייה שלאחריו מתאימות לתיאור זה. שנית, פרנקה ואחרים </w:t>
      </w:r>
      <w:r>
        <w:rPr>
          <w:rFonts w:ascii="Times New Roman" w:cs="Times New Roman" w:eastAsia="Times New Roman" w:hAnsi="Times New Roman"/>
          <w:sz w:val="24"/>
          <w:szCs w:val="24"/>
        </w:rPr>
        <w:t xml:space="preserve">(Franke et al., 2010)</w:t>
      </w:r>
      <w:r>
        <w:rPr>
          <w:rFonts w:ascii="David" w:cs="David" w:eastAsia="David" w:hAnsi="David"/>
          <w:sz w:val="24"/>
          <w:szCs w:val="24"/>
          <w:rtl/>
        </w:rPr>
        <w:t xml:space="preserve"> הראו שהלגיטימיות אמנם משתנה במהלך המאסר, אך מה שמניע את השינוי הוא איכות החוויות במוסד ולא הזמן כשלעצמו. אסיר ותיק באגף שיחס הסגל בו הוגן לא יפתח ציניות רק משום שעבר זמן. סייקס </w:t>
      </w:r>
      <w:r>
        <w:rPr>
          <w:rFonts w:ascii="Times New Roman" w:cs="Times New Roman" w:eastAsia="Times New Roman" w:hAnsi="Times New Roman"/>
          <w:sz w:val="24"/>
          <w:szCs w:val="24"/>
        </w:rPr>
        <w:t xml:space="preserve">(Sykes, 1958)</w:t>
      </w:r>
      <w:r>
        <w:rPr>
          <w:rFonts w:ascii="David" w:cs="David" w:eastAsia="David" w:hAnsi="David"/>
          <w:sz w:val="24"/>
          <w:szCs w:val="24"/>
          <w:rtl/>
        </w:rPr>
        <w:t xml:space="preserve"> תיאר את כאבי המאסר ככרוניים, ולכן גם אין סיבה לצפות שהרווחה תשתפר עם הוותק, וכך אכן נמצא.</w:t>
      </w:r>
    </w:p>
    <w:p>
      <w:pPr>
        <w:bidi/>
        <w:spacing w:after="120" w:line="360"/>
        <w:ind w:firstLine="567"/>
        <w:jc w:val="both"/>
      </w:pPr>
      <w:r>
        <w:rPr>
          <w:rFonts w:ascii="David" w:cs="David" w:eastAsia="David" w:hAnsi="David"/>
          <w:sz w:val="24"/>
          <w:szCs w:val="24"/>
          <w:rtl/>
        </w:rPr>
        <w:t xml:space="preserve">שתי הערות מתודולוגיות מתחייבות. הראשונה, המערך הוא מערך חתך שמשווה אסירים שונים בנקודות ותק שונות ולא עוקב אחר אותם אסירים, ולכן אינו יכול ללמד על שינוי תוך-אישי (ועקנין,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 השנייה, מי שנמצא באגף זמן רב הוא גם מי שהסתגל אליו ולא הועבר ממנו, ולכן קבוצת הוותיקים היא קבוצה נבררת. סלקציה כזו עשויה לטשטש ירידה בלגיטימיות אצל מי שלא הסתגלו והועברו. הקידוד הבינארי של הוותק, שבו נמצא הבדל מובהק בגבול לרעת הוותיקים, מרמז שייתכן קשר שלילי חלש שקטגוריות הוותק הגסות אינן מאפשרות לזהותו.</w:t>
      </w:r>
    </w:p>
    <w:p>
      <w:pPr>
        <w:pStyle w:val="Heading2"/>
        <w:keepNext/>
        <w:bidi/>
        <w:spacing w:after="120" w:before="240" w:line="360"/>
        <w:jc w:val="right"/>
      </w:pPr>
      <w:r>
        <w:rPr>
          <w:rFonts w:ascii="David" w:cs="David" w:eastAsia="David" w:hAnsi="David"/>
          <w:b/>
          <w:bCs/>
          <w:sz w:val="28"/>
          <w:szCs w:val="28"/>
          <w:rtl/>
        </w:rPr>
        <w:t xml:space="preserve">לגיטימיות בהקשר הישראלי</w:t>
      </w:r>
    </w:p>
    <w:p>
      <w:pPr>
        <w:bidi/>
        <w:spacing w:after="120" w:line="360"/>
        <w:ind w:firstLine="567"/>
        <w:jc w:val="both"/>
      </w:pPr>
      <w:r>
        <w:rPr>
          <w:rFonts w:ascii="David" w:cs="David" w:eastAsia="David" w:hAnsi="David"/>
          <w:sz w:val="24"/>
          <w:szCs w:val="24"/>
          <w:rtl/>
        </w:rPr>
        <w:t xml:space="preserve">ממצאי הסקר המקורי הצביעו על הלגיטימיות כמשתנה שממתן את הקשר בין תנאי המחיה לשביעות הרצון מפעילויות השיקום, והמחבר הציע לשירות בתי הסוהר לראות בה כלי ניהולי (ועקנין,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המחקר הנוכחי מחזק את ההצעה מכיוון אחר: לא רק תנאי המחיה הפיזיים אלא גם המצב הנפשי של השפוט קשור לאופן שבו הוא שופט את הסגל. הממוצע הגבוה של הלגיטימיות שנמצא, </w:t>
      </w:r>
      <w:r>
        <w:rPr>
          <w:rFonts w:ascii="Times New Roman" w:cs="Times New Roman" w:eastAsia="Times New Roman" w:hAnsi="Times New Roman"/>
          <w:sz w:val="24"/>
          <w:szCs w:val="24"/>
        </w:rPr>
        <w:t xml:space="preserve">4.24</w:t>
      </w:r>
      <w:r>
        <w:rPr>
          <w:rFonts w:ascii="David" w:cs="David" w:eastAsia="David" w:hAnsi="David"/>
          <w:sz w:val="24"/>
          <w:szCs w:val="24"/>
          <w:rtl/>
        </w:rPr>
        <w:t xml:space="preserve"> בסולם של </w:t>
      </w:r>
      <w:r>
        <w:rPr>
          <w:rFonts w:ascii="Times New Roman" w:cs="Times New Roman" w:eastAsia="Times New Roman" w:hAnsi="Times New Roman"/>
          <w:sz w:val="24"/>
          <w:szCs w:val="24"/>
        </w:rPr>
        <w:t xml:space="preserve">1</w:t>
      </w:r>
      <w:r>
        <w:rPr>
          <w:rFonts w:ascii="David" w:cs="David" w:eastAsia="David" w:hAnsi="David"/>
          <w:sz w:val="24"/>
          <w:szCs w:val="24"/>
          <w:rtl/>
        </w:rPr>
        <w:t xml:space="preserve"> עד </w:t>
      </w:r>
      <w:r>
        <w:rPr>
          <w:rFonts w:ascii="Times New Roman" w:cs="Times New Roman" w:eastAsia="Times New Roman" w:hAnsi="Times New Roman"/>
          <w:sz w:val="24"/>
          <w:szCs w:val="24"/>
        </w:rPr>
        <w:t xml:space="preserve">5,</w:t>
      </w:r>
      <w:r>
        <w:rPr>
          <w:rFonts w:ascii="David" w:cs="David" w:eastAsia="David" w:hAnsi="David"/>
          <w:sz w:val="24"/>
          <w:szCs w:val="24"/>
          <w:rtl/>
        </w:rPr>
        <w:t xml:space="preserve"> שונה מהתמונה בסלובניה, שם יותר ממחצית האסירים לא נתנו אמון בסגל </w:t>
      </w:r>
      <w:r>
        <w:rPr>
          <w:rFonts w:ascii="Times New Roman" w:cs="Times New Roman" w:eastAsia="Times New Roman" w:hAnsi="Times New Roman"/>
          <w:sz w:val="24"/>
          <w:szCs w:val="24"/>
        </w:rPr>
        <w:t xml:space="preserve">(Hacin &amp; Meško, 2018)</w:t>
      </w:r>
      <w:r>
        <w:rPr>
          <w:rFonts w:ascii="David" w:cs="David" w:eastAsia="David" w:hAnsi="David"/>
          <w:sz w:val="24"/>
          <w:szCs w:val="24"/>
          <w:rtl/>
        </w:rPr>
        <w:t xml:space="preserve">. ייתכן שההבדל משקף מדיניות של יחס מכבד באגפים הפליליים בישראל, וייתכן שהוא משקף רצייה חברתית בשאלון שהועבר על ידי מנהלי האגפים עצמם. שני ההסברים אינם מוציאים זה את זה. ממצאי ון הול ואחרים </w:t>
      </w:r>
      <w:r>
        <w:rPr>
          <w:rFonts w:ascii="Times New Roman" w:cs="Times New Roman" w:eastAsia="Times New Roman" w:hAnsi="Times New Roman"/>
          <w:sz w:val="24"/>
          <w:szCs w:val="24"/>
        </w:rPr>
        <w:t xml:space="preserve">(van Hall et al., 2025)</w:t>
      </w:r>
      <w:r>
        <w:rPr>
          <w:rFonts w:ascii="David" w:cs="David" w:eastAsia="David" w:hAnsi="David"/>
          <w:sz w:val="24"/>
          <w:szCs w:val="24"/>
          <w:rtl/>
        </w:rPr>
        <w:t xml:space="preserve"> בדבר ה"שפיכה" של הלגיטימיות אל מחוץ לחומות מלמדים שהשקעה בלגיטימיות באגף היא גם השקעה בשיקום, וזהו בדיוק הקשר שהסקר הישראלי זיהה בין לגיטימיות לפעילויות השיקום.</w:t>
      </w:r>
    </w:p>
    <w:p>
      <w:pPr>
        <w:pStyle w:val="Heading2"/>
        <w:keepNext/>
        <w:bidi/>
        <w:spacing w:after="120" w:before="240" w:line="360"/>
        <w:jc w:val="right"/>
      </w:pPr>
      <w:r>
        <w:rPr>
          <w:rFonts w:ascii="David" w:cs="David" w:eastAsia="David" w:hAnsi="David"/>
          <w:b/>
          <w:bCs/>
          <w:sz w:val="28"/>
          <w:szCs w:val="28"/>
          <w:rtl/>
        </w:rPr>
        <w:t xml:space="preserve">השלכות יישומיות</w:t>
      </w:r>
    </w:p>
    <w:p>
      <w:pPr>
        <w:bidi/>
        <w:spacing w:after="120" w:line="360"/>
        <w:ind w:firstLine="567"/>
        <w:jc w:val="both"/>
      </w:pPr>
      <w:r>
        <w:rPr>
          <w:rFonts w:ascii="David" w:cs="David" w:eastAsia="David" w:hAnsi="David"/>
          <w:sz w:val="24"/>
          <w:szCs w:val="24"/>
          <w:rtl/>
        </w:rPr>
        <w:t xml:space="preserve">מהממצאים נגזרות כמה המלצות מעשיות. הראשונה היא סינון שגרתי של רווחה נפשית בשתי נקודות זמן, בקליטה לאגף ושלושה חודשים לאחריה, שהן נקודות הזמן שבהן נמדדה המצוקה במחקר ההולנדי </w:t>
      </w:r>
      <w:r>
        <w:rPr>
          <w:rFonts w:ascii="Times New Roman" w:cs="Times New Roman" w:eastAsia="Times New Roman" w:hAnsi="Times New Roman"/>
          <w:sz w:val="24"/>
          <w:szCs w:val="24"/>
        </w:rPr>
        <w:t xml:space="preserve">(Beijersbergen et al., 2014)</w:t>
      </w:r>
      <w:r>
        <w:rPr>
          <w:rFonts w:ascii="David" w:cs="David" w:eastAsia="David" w:hAnsi="David"/>
          <w:sz w:val="24"/>
          <w:szCs w:val="24"/>
          <w:rtl/>
        </w:rPr>
        <w:t xml:space="preserve">. חמשת פריטי הרווחה שבשאלון הנוכחי, שמהימנותם </w:t>
      </w:r>
      <w:r>
        <w:rPr>
          <w:rFonts w:ascii="Times New Roman" w:cs="Times New Roman" w:eastAsia="Times New Roman" w:hAnsi="Times New Roman"/>
          <w:sz w:val="24"/>
          <w:szCs w:val="24"/>
        </w:rPr>
        <w:t xml:space="preserve">0.81,</w:t>
      </w:r>
      <w:r>
        <w:rPr>
          <w:rFonts w:ascii="David" w:cs="David" w:eastAsia="David" w:hAnsi="David"/>
          <w:sz w:val="24"/>
          <w:szCs w:val="24"/>
          <w:rtl/>
        </w:rPr>
        <w:t xml:space="preserve"> יכולים לשמש לכך כפי שהם. השנייה נובעת מהממצא שהפריט הקשור ביותר לרווחה הוא האפשרות לדבר עם הסוהרים: לקבוע לכל סוהר אגף שעת קבלה שבועית קבועה שבה אסירים יכולים לפנות אליו שלא בדחיפות, ולתעד את הפניות. השלישית היא הכשרת סוהרי אגף בעקרונות הצדק הפרוצדורלי, לתת לאסיר לומר את דברו לפני החלטה ולהסביר את ההחלטה גם כשהיא שלילית, בהתאם למודל של טיילר </w:t>
      </w:r>
      <w:r>
        <w:rPr>
          <w:rFonts w:ascii="Times New Roman" w:cs="Times New Roman" w:eastAsia="Times New Roman" w:hAnsi="Times New Roman"/>
          <w:sz w:val="24"/>
          <w:szCs w:val="24"/>
        </w:rPr>
        <w:t xml:space="preserve">(Tyler, 1990)</w:t>
      </w:r>
      <w:r>
        <w:rPr>
          <w:rFonts w:ascii="David" w:cs="David" w:eastAsia="David" w:hAnsi="David"/>
          <w:sz w:val="24"/>
          <w:szCs w:val="24"/>
          <w:rtl/>
        </w:rPr>
        <w:t xml:space="preserve">. הרביעית היא מדידה שנתית של הלגיטימיות והרווחה ברמת האגף באמצעות שלושת פריטי הלגיטימיות וחמשת פריטי הרווחה, כך שאגפים שבהם הציונים נמוכים מסף מוגדר, למשל </w:t>
      </w:r>
      <w:r>
        <w:rPr>
          <w:rFonts w:ascii="Times New Roman" w:cs="Times New Roman" w:eastAsia="Times New Roman" w:hAnsi="Times New Roman"/>
          <w:sz w:val="24"/>
          <w:szCs w:val="24"/>
        </w:rPr>
        <w:t xml:space="preserve">3.5,</w:t>
      </w:r>
      <w:r>
        <w:rPr>
          <w:rFonts w:ascii="David" w:cs="David" w:eastAsia="David" w:hAnsi="David"/>
          <w:sz w:val="24"/>
          <w:szCs w:val="24"/>
          <w:rtl/>
        </w:rPr>
        <w:t xml:space="preserve"> יזוהו ויקבלו ליווי, בדומה לסף שהציעו אוטי וליבלינג </w:t>
      </w:r>
      <w:r>
        <w:rPr>
          <w:rFonts w:ascii="Times New Roman" w:cs="Times New Roman" w:eastAsia="Times New Roman" w:hAnsi="Times New Roman"/>
          <w:sz w:val="24"/>
          <w:szCs w:val="24"/>
        </w:rPr>
        <w:t xml:space="preserve">(Auty &amp; Liebling, 2024)</w:t>
      </w:r>
      <w:r>
        <w:rPr>
          <w:rFonts w:ascii="David" w:cs="David" w:eastAsia="David" w:hAnsi="David"/>
          <w:sz w:val="24"/>
          <w:szCs w:val="24"/>
          <w:rtl/>
        </w:rPr>
        <w:t xml:space="preserve">. החמישית, לאור השפל בלגיטימיות בשבוע הראשון, היא שיחת קליטה מובנית עם מנהל האגף בתוך </w:t>
      </w:r>
      <w:r>
        <w:rPr>
          <w:rFonts w:ascii="Times New Roman" w:cs="Times New Roman" w:eastAsia="Times New Roman" w:hAnsi="Times New Roman"/>
          <w:sz w:val="24"/>
          <w:szCs w:val="24"/>
        </w:rPr>
        <w:t xml:space="preserve">48</w:t>
      </w:r>
      <w:r>
        <w:rPr>
          <w:rFonts w:ascii="David" w:cs="David" w:eastAsia="David" w:hAnsi="David"/>
          <w:sz w:val="24"/>
          <w:szCs w:val="24"/>
          <w:rtl/>
        </w:rPr>
        <w:t xml:space="preserve"> שעות מהגעת השפוט, שבה מוסברים כללי האגף, דרכי הפנייה ואופן הטיפול בבקשות.</w:t>
      </w:r>
    </w:p>
    <w:p>
      <w:pPr>
        <w:pStyle w:val="Heading1"/>
        <w:pageBreakBefore/>
        <w:bidi/>
        <w:spacing w:after="240" w:before="0" w:line="360"/>
        <w:jc w:val="right"/>
      </w:pPr>
      <w:r>
        <w:rPr>
          <w:rFonts w:ascii="David" w:cs="David" w:eastAsia="David" w:hAnsi="David"/>
          <w:b/>
          <w:bCs/>
          <w:sz w:val="32"/>
          <w:szCs w:val="32"/>
          <w:rtl/>
        </w:rPr>
        <w:t xml:space="preserve">מגבלות המחקר</w:t>
      </w:r>
    </w:p>
    <w:p>
      <w:pPr>
        <w:bidi/>
        <w:spacing w:after="120" w:line="360"/>
        <w:ind w:firstLine="567"/>
        <w:jc w:val="both"/>
      </w:pPr>
      <w:r>
        <w:rPr>
          <w:rFonts w:ascii="David" w:cs="David" w:eastAsia="David" w:hAnsi="David"/>
          <w:sz w:val="24"/>
          <w:szCs w:val="24"/>
          <w:rtl/>
        </w:rPr>
        <w:t xml:space="preserve">המגבלה הראשונה והמרכזית היא שהנתונים סינתטיים. הם נבנו על פי המבנה של סקר תנאי המחיה בשירות בתי הסוהר, אך אינם נתוני האסירים עצמם, ואומדנים מדויקים וערכי </w:t>
      </w:r>
      <w:r>
        <w:rPr>
          <w:rFonts w:ascii="Times New Roman" w:cs="Times New Roman" w:eastAsia="Times New Roman" w:hAnsi="Times New Roman"/>
          <w:sz w:val="24"/>
          <w:szCs w:val="24"/>
        </w:rPr>
        <w:t xml:space="preserve">p</w:t>
      </w:r>
      <w:r>
        <w:rPr>
          <w:rFonts w:ascii="David" w:cs="David" w:eastAsia="David" w:hAnsi="David"/>
          <w:sz w:val="24"/>
          <w:szCs w:val="24"/>
          <w:rtl/>
        </w:rPr>
        <w:t xml:space="preserve"> מושפעים מרעש הסינתזה (ועקנין,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 לכן הממצאים מלמדים על השיטה ועל אופן הניתוח, ואין להסיק מהם מסקנות ישירות על אוכלוסיית השפוטים בישראל. כל המלצה יישומית שהוצגה בדיון היא בגדר השערה שדורשת בדיקה בנתונים אמיתיים.</w:t>
      </w:r>
    </w:p>
    <w:p>
      <w:pPr>
        <w:bidi/>
        <w:spacing w:after="120" w:line="360"/>
        <w:ind w:firstLine="567"/>
        <w:jc w:val="both"/>
      </w:pPr>
      <w:r>
        <w:rPr>
          <w:rFonts w:ascii="David" w:cs="David" w:eastAsia="David" w:hAnsi="David"/>
          <w:sz w:val="24"/>
          <w:szCs w:val="24"/>
          <w:rtl/>
        </w:rPr>
        <w:t xml:space="preserve">המגבלה השנייה נוגעת למערך. המחקר הוא מחקר חתך מתאמי, ולכן אינו יכול להכריע בכיוון הקשר: האם הרווחה הנפשית משפיעה על תפיסת הלגיטימיות, האם יחס לגיטימי משפר את הרווחה, או האם משתנה שלישי כמו תנאי האגף מסביר את שניהם. המחקרים ההולנדי והאוסטרלי הראו שאפשר לענות על שאלה זו רק במערך אורך עם שתי מדידות לפחות </w:t>
      </w:r>
      <w:r>
        <w:rPr>
          <w:rFonts w:ascii="Times New Roman" w:cs="Times New Roman" w:eastAsia="Times New Roman" w:hAnsi="Times New Roman"/>
          <w:sz w:val="24"/>
          <w:szCs w:val="24"/>
        </w:rPr>
        <w:t xml:space="preserve">(Beijersbergen et al., 2014; Sargeant et al., 2026)</w:t>
      </w:r>
      <w:r>
        <w:rPr>
          <w:rFonts w:ascii="David" w:cs="David" w:eastAsia="David" w:hAnsi="David"/>
          <w:sz w:val="24"/>
          <w:szCs w:val="24"/>
          <w:rtl/>
        </w:rPr>
        <w:t xml:space="preserve">. מאחר שמדובר בניתוח משני, לא ניתן היה להוסיף פריטים לשאלון או לשלב ראיונות, ולכן לא התאפשר מחקר משולב שהיה יכול להסביר מדוע אסירים במצוקה תופסים את הסגל כפחות לגיטימי. הקובץ גם אינו מאפשר להבחין בין בתי סוהר ובין אגפים, ואילו המחקר האנגלי הראה שחלק מהשונות בלגיטימיות נמצא ברמת המוסד </w:t>
      </w:r>
      <w:r>
        <w:rPr>
          <w:rFonts w:ascii="Times New Roman" w:cs="Times New Roman" w:eastAsia="Times New Roman" w:hAnsi="Times New Roman"/>
          <w:sz w:val="24"/>
          <w:szCs w:val="24"/>
        </w:rPr>
        <w:t xml:space="preserve">(Brunton-Smith &amp; McCarthy, 2016)</w:t>
      </w:r>
      <w:r>
        <w:rPr>
          <w:rFonts w:ascii="David" w:cs="David" w:eastAsia="David" w:hAnsi="David"/>
          <w:sz w:val="24"/>
          <w:szCs w:val="24"/>
          <w:rtl/>
        </w:rPr>
        <w:t xml:space="preserve">. לבסוף, מהימנות סולם הלגיטימיות (</w:t>
      </w:r>
      <w:r>
        <w:rPr>
          <w:rFonts w:ascii="Times New Roman" w:cs="Times New Roman" w:eastAsia="Times New Roman" w:hAnsi="Times New Roman"/>
          <w:sz w:val="24"/>
          <w:szCs w:val="24"/>
        </w:rPr>
        <w:t xml:space="preserve">0.67</w:t>
      </w:r>
      <w:r>
        <w:rPr>
          <w:rFonts w:ascii="David" w:cs="David" w:eastAsia="David" w:hAnsi="David"/>
          <w:sz w:val="24"/>
          <w:szCs w:val="24"/>
          <w:rtl/>
        </w:rPr>
        <w:t xml:space="preserve">) נמוכה מעט מהמקובל, וסולם של שלושה פריטים אינו מכסה את כל מרכיבי הצדק הפרוצדורלי.</w:t>
      </w:r>
    </w:p>
    <w:p>
      <w:pPr>
        <w:bidi/>
        <w:spacing w:after="120" w:line="360"/>
        <w:ind w:firstLine="567"/>
        <w:jc w:val="both"/>
      </w:pPr>
      <w:r>
        <w:rPr>
          <w:rFonts w:ascii="David" w:cs="David" w:eastAsia="David" w:hAnsi="David"/>
          <w:sz w:val="24"/>
          <w:szCs w:val="24"/>
          <w:rtl/>
        </w:rPr>
        <w:t xml:space="preserve">המגבלה השלישית היא היקף האוכלוסייה והמדידה. המחקר עוסק באסירים פליליים ישראלים שפוטים בלבד, ואינו מייצג עצורים, אסירים ביטחוניים או אסירות, שמספרן במדגם קטן מכדי לנתחן בנפרד. שני המשתנים נמדדו בדיווח עצמי בשאלון שהועבר על ידי מנהלי האגפים וקציני החינוך, ובסביבת כליאה יש לחשוש מרצייה חברתית ומחשש של אסירים לדווח על יחס הסגל, גם כשהשאלון אנונימי. הממוצע הגבוה של הלגיטימיות והטיית ההתפלגות שמאלה עשויים לשקף חשש כזה. האצין ומשקו </w:t>
      </w:r>
      <w:r>
        <w:rPr>
          <w:rFonts w:ascii="Times New Roman" w:cs="Times New Roman" w:eastAsia="Times New Roman" w:hAnsi="Times New Roman"/>
          <w:sz w:val="24"/>
          <w:szCs w:val="24"/>
        </w:rPr>
        <w:t xml:space="preserve">(Hacin &amp; Meško, 2018)</w:t>
      </w:r>
      <w:r>
        <w:rPr>
          <w:rFonts w:ascii="David" w:cs="David" w:eastAsia="David" w:hAnsi="David"/>
          <w:sz w:val="24"/>
          <w:szCs w:val="24"/>
          <w:rtl/>
        </w:rPr>
        <w:t xml:space="preserve"> הצביעו על חוסר אמון בסגל כתופעה רווחת, וייתכן שאותו חוסר אמון משפיע גם על הנכונות להשיב בכנות. נוסף על כך, קטגוריות הוותק באגף גסות, ורוב השפוטים מרוכזים בקטגוריה הגבוהה, ולכן כוחו של הניתוח לזהות קשר עם הוותק מוגבל.</w:t>
      </w:r>
    </w:p>
    <w:p>
      <w:pPr>
        <w:pStyle w:val="Heading1"/>
        <w:pageBreakBefore/>
        <w:bidi/>
        <w:spacing w:after="240" w:before="0" w:line="360"/>
        <w:jc w:val="right"/>
      </w:pPr>
      <w:r>
        <w:rPr>
          <w:rFonts w:ascii="David" w:cs="David" w:eastAsia="David" w:hAnsi="David"/>
          <w:b/>
          <w:bCs/>
          <w:sz w:val="32"/>
          <w:szCs w:val="32"/>
          <w:rtl/>
        </w:rPr>
        <w:t xml:space="preserve">סיכום</w:t>
      </w:r>
    </w:p>
    <w:p>
      <w:pPr>
        <w:bidi/>
        <w:spacing w:after="120" w:line="360"/>
        <w:ind w:firstLine="567"/>
        <w:jc w:val="both"/>
      </w:pPr>
      <w:r>
        <w:rPr>
          <w:rFonts w:ascii="David" w:cs="David" w:eastAsia="David" w:hAnsi="David"/>
          <w:sz w:val="24"/>
          <w:szCs w:val="24"/>
          <w:rtl/>
        </w:rPr>
        <w:t xml:space="preserve">העבודה בחנה את הקשר בין רווחה נפשית לבין תפיסת הלגיטימיות של סגל הכליאה בקרב </w:t>
      </w:r>
      <w:r>
        <w:rPr>
          <w:rFonts w:ascii="Times New Roman" w:cs="Times New Roman" w:eastAsia="Times New Roman" w:hAnsi="Times New Roman"/>
          <w:sz w:val="24"/>
          <w:szCs w:val="24"/>
        </w:rPr>
        <w:t xml:space="preserve">2,379</w:t>
      </w:r>
      <w:r>
        <w:rPr>
          <w:rFonts w:ascii="David" w:cs="David" w:eastAsia="David" w:hAnsi="David"/>
          <w:sz w:val="24"/>
          <w:szCs w:val="24"/>
          <w:rtl/>
        </w:rPr>
        <w:t xml:space="preserve"> אסירים שפוטים, ואת הקשר בין ותק באגף ללגיטימיות, על בסיס נתונים סינתטיים המבוססים על סקר תנאי המחיה של שירות בתי הסוהר. סקירת הספרות הציגה את המודל של הצדק הפרוצדורלי ואת ספרות ההסתגלות למאסר, ומהן נגזרו שלוש השערות. הניתוח כלל סטטיסטיקה תיאורית, בדיקת מהימנות, מתאמים, רגרסיה היררכית וניתוח שונות. נמצא קשר חיובי מובהק בעוצמה בינונית בין רווחה נפשית ללגיטימיות, שנשמר בפיקוח על משתני הרקע והסביר כעשרה אחוזים מהשונות, ולא נמצא קשר עקבי בין ותק באגף ללגיטימיות. הממצאים תואמים את המחקרים מהולנד, מאנגליה, מאוסטרליה ומארצות הברית, ומצביעים על כך שרווחתו הנפשית של השפוט אינה עניין טיפולי בלבד אלא מרכיב בסדר ובציות באגף. ההמלצות המעשיות, סינון רווחה נפשית בקליטה ואחריה, שעת קבלה שבועית של סוהרי האגף, הכשרה בצדק פרוצדורלי, מדידה שנתית ברמת האגף ושיחת קליטה מובנית, ממתינות לבדיקה בנתונים אמיתיים ובמערך אורך.</w:t>
      </w:r>
    </w:p>
    <w:p>
      <w:pPr>
        <w:pStyle w:val="Heading1"/>
        <w:pageBreakBefore/>
        <w:bidi/>
        <w:spacing w:after="240" w:before="0" w:line="360"/>
        <w:jc w:val="right"/>
      </w:pPr>
      <w:r>
        <w:rPr>
          <w:rFonts w:ascii="David" w:cs="David" w:eastAsia="David" w:hAnsi="David"/>
          <w:b/>
          <w:bCs/>
          <w:sz w:val="32"/>
          <w:szCs w:val="32"/>
          <w:rtl/>
        </w:rPr>
        <w:t xml:space="preserve">גילוי נאות</w:t>
      </w:r>
    </w:p>
    <w:p>
      <w:pPr>
        <w:bidi/>
        <w:spacing w:after="120" w:line="360"/>
        <w:ind w:firstLine="567"/>
        <w:jc w:val="both"/>
      </w:pPr>
      <w:r>
        <w:rPr>
          <w:rFonts w:ascii="David" w:cs="David" w:eastAsia="David" w:hAnsi="David"/>
          <w:sz w:val="24"/>
          <w:szCs w:val="24"/>
          <w:rtl/>
        </w:rPr>
        <w:t xml:space="preserve">בכתיבת עבודה זו נעשה שימוש בכלי בינה מלאכותית לצורכי עריכה לשונית, עזרה בתרגום התקציר לאנגלית, עזרה בבניית הסינטקס של הניתוחים הסטטיסטיים ב-</w:t>
      </w:r>
      <w:r>
        <w:rPr>
          <w:rFonts w:ascii="Times New Roman" w:cs="Times New Roman" w:eastAsia="Times New Roman" w:hAnsi="Times New Roman"/>
          <w:sz w:val="24"/>
          <w:szCs w:val="24"/>
        </w:rPr>
        <w:t xml:space="preserve">SPSS</w:t>
      </w:r>
      <w:r>
        <w:rPr>
          <w:rFonts w:ascii="David" w:cs="David" w:eastAsia="David" w:hAnsi="David"/>
          <w:sz w:val="24"/>
          <w:szCs w:val="24"/>
          <w:rtl/>
        </w:rPr>
        <w:t xml:space="preserve"> ועזרה באיתור מקורות. בחירת שאלות המחקר, קריאת המקורות, הרצת הניתוחים, פירוש הממצאים והמסקנות הם של הכותבות.</w:t>
      </w:r>
    </w:p>
    <w:p>
      <w:pPr>
        <w:bidi/>
        <w:spacing w:after="120" w:line="360"/>
        <w:ind w:firstLine="567"/>
        <w:jc w:val="both"/>
      </w:pPr>
      <w:r>
        <w:rPr>
          <w:rFonts w:ascii="David" w:cs="David" w:eastAsia="David" w:hAnsi="David"/>
          <w:sz w:val="24"/>
          <w:szCs w:val="24"/>
          <w:rtl/>
        </w:rPr>
        <w:t xml:space="preserve">חלוקת העבודה: </w:t>
      </w:r>
      <w:r>
        <w:rPr>
          <w:rFonts w:ascii="David" w:cs="David" w:eastAsia="David" w:hAnsi="David"/>
          <w:sz w:val="24"/>
          <w:szCs w:val="24"/>
          <w:highlight w:val="yellow"/>
          <w:rtl/>
        </w:rPr>
        <w:t xml:space="preserve">שם</w:t>
      </w:r>
      <w:r>
        <w:rPr>
          <w:rFonts w:ascii="David" w:cs="David" w:eastAsia="David" w:hAnsi="David"/>
          <w:sz w:val="24"/>
          <w:szCs w:val="24"/>
          <w:rtl/>
        </w:rPr>
        <w:t xml:space="preserve"> כתבה את המבוא ואת סקירת הספרות; </w:t>
      </w:r>
      <w:r>
        <w:rPr>
          <w:rFonts w:ascii="David" w:cs="David" w:eastAsia="David" w:hAnsi="David"/>
          <w:sz w:val="24"/>
          <w:szCs w:val="24"/>
          <w:highlight w:val="yellow"/>
          <w:rtl/>
        </w:rPr>
        <w:t xml:space="preserve">שם</w:t>
      </w:r>
      <w:r>
        <w:rPr>
          <w:rFonts w:ascii="David" w:cs="David" w:eastAsia="David" w:hAnsi="David"/>
          <w:sz w:val="24"/>
          <w:szCs w:val="24"/>
          <w:rtl/>
        </w:rPr>
        <w:t xml:space="preserve"> כתבה את פרק השיטה ואת פרק הממצאים והריצה את הניתוחים ב-</w:t>
      </w:r>
      <w:r>
        <w:rPr>
          <w:rFonts w:ascii="Times New Roman" w:cs="Times New Roman" w:eastAsia="Times New Roman" w:hAnsi="Times New Roman"/>
          <w:sz w:val="24"/>
          <w:szCs w:val="24"/>
        </w:rPr>
        <w:t xml:space="preserve">SPSS</w:t>
      </w:r>
      <w:r>
        <w:rPr>
          <w:rFonts w:ascii="David" w:cs="David" w:eastAsia="David" w:hAnsi="David"/>
          <w:sz w:val="24"/>
          <w:szCs w:val="24"/>
          <w:rtl/>
        </w:rPr>
        <w:t xml:space="preserve">; הדיון, המגבלות והסיכום נכתבו במשותף. </w:t>
      </w:r>
      <w:r>
        <w:rPr>
          <w:rFonts w:ascii="David" w:cs="David" w:eastAsia="David" w:hAnsi="David"/>
          <w:sz w:val="24"/>
          <w:szCs w:val="24"/>
          <w:highlight w:val="yellow"/>
          <w:rtl/>
        </w:rPr>
        <w:t xml:space="preserve">להתאים לחלוקה בפועל.</w:t>
      </w:r>
    </w:p>
    <w:p>
      <w:pPr>
        <w:pStyle w:val="Heading1"/>
        <w:pageBreakBefore/>
        <w:bidi/>
        <w:spacing w:after="240" w:before="0" w:line="360"/>
        <w:jc w:val="right"/>
      </w:pPr>
      <w:r>
        <w:rPr>
          <w:rFonts w:ascii="David" w:cs="David" w:eastAsia="David" w:hAnsi="David"/>
          <w:b/>
          <w:bCs/>
          <w:sz w:val="32"/>
          <w:szCs w:val="32"/>
          <w:rtl/>
        </w:rPr>
        <w:t xml:space="preserve">ביבליוגרפיה</w:t>
      </w:r>
    </w:p>
    <w:p>
      <w:pPr>
        <w:bidi/>
        <w:spacing w:after="120" w:line="360"/>
        <w:ind w:start="709" w:hanging="709"/>
        <w:jc w:val="right"/>
      </w:pPr>
      <w:r>
        <w:rPr>
          <w:rFonts w:ascii="David" w:cs="David" w:eastAsia="David" w:hAnsi="David"/>
          <w:sz w:val="24"/>
          <w:szCs w:val="24"/>
          <w:rtl/>
        </w:rPr>
        <w:t xml:space="preserve">בן צבי, ק' וכרמל, ת' (</w:t>
      </w:r>
      <w:r>
        <w:rPr>
          <w:rFonts w:ascii="Times New Roman" w:cs="Times New Roman" w:eastAsia="Times New Roman" w:hAnsi="Times New Roman"/>
          <w:sz w:val="24"/>
          <w:szCs w:val="24"/>
        </w:rPr>
        <w:t xml:space="preserve">2013</w:t>
      </w:r>
      <w:r>
        <w:rPr>
          <w:rFonts w:ascii="David" w:cs="David" w:eastAsia="David" w:hAnsi="David"/>
          <w:sz w:val="24"/>
          <w:szCs w:val="24"/>
          <w:rtl/>
        </w:rPr>
        <w:t xml:space="preserve">). אלימות כלואה: הקשר בין רמת צפיפות בבתי סוהר פליליים בישראל לרמת האלימות הפיזית. צוהר לבית הסוהר,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28-44.</w:t>
      </w:r>
    </w:p>
    <w:p>
      <w:pPr>
        <w:bidi/>
        <w:spacing w:after="120" w:line="360"/>
        <w:ind w:start="709" w:hanging="709"/>
        <w:jc w:val="right"/>
      </w:pPr>
      <w:r>
        <w:rPr>
          <w:rFonts w:ascii="David" w:cs="David" w:eastAsia="David" w:hAnsi="David"/>
          <w:sz w:val="24"/>
          <w:szCs w:val="24"/>
          <w:rtl/>
        </w:rPr>
        <w:t xml:space="preserve">דוידסקו, ע' וולק, ד' (</w:t>
      </w:r>
      <w:r>
        <w:rPr>
          <w:rFonts w:ascii="Times New Roman" w:cs="Times New Roman" w:eastAsia="Times New Roman" w:hAnsi="Times New Roman"/>
          <w:sz w:val="24"/>
          <w:szCs w:val="24"/>
        </w:rPr>
        <w:t xml:space="preserve">2015</w:t>
      </w:r>
      <w:r>
        <w:rPr>
          <w:rFonts w:ascii="David" w:cs="David" w:eastAsia="David" w:hAnsi="David"/>
          <w:sz w:val="24"/>
          <w:szCs w:val="24"/>
          <w:rtl/>
        </w:rPr>
        <w:t xml:space="preserve">). תנאי כליאה של אסירים: בין רווחה לנוקשות [סקירת ספרות, פרסום מס' </w:t>
      </w:r>
      <w:r>
        <w:rPr>
          <w:rFonts w:ascii="Times New Roman" w:cs="Times New Roman" w:eastAsia="Times New Roman" w:hAnsi="Times New Roman"/>
          <w:sz w:val="24"/>
          <w:szCs w:val="24"/>
        </w:rPr>
        <w:t xml:space="preserve">LR-02-2015</w:t>
      </w:r>
      <w:r>
        <w:rPr>
          <w:rFonts w:ascii="David" w:cs="David" w:eastAsia="David" w:hAnsi="David"/>
          <w:sz w:val="24"/>
          <w:szCs w:val="24"/>
          <w:rtl/>
        </w:rPr>
        <w:t xml:space="preserve">]. שירות בתי הסוהר, מחלקת מחקר ואסטרטגיה.</w:t>
      </w:r>
    </w:p>
    <w:p>
      <w:pPr>
        <w:bidi/>
        <w:spacing w:after="120" w:line="360"/>
        <w:ind w:start="709" w:hanging="709"/>
        <w:jc w:val="right"/>
      </w:pPr>
      <w:r>
        <w:rPr>
          <w:rFonts w:ascii="David" w:cs="David" w:eastAsia="David" w:hAnsi="David"/>
          <w:sz w:val="24"/>
          <w:szCs w:val="24"/>
          <w:rtl/>
        </w:rPr>
        <w:t xml:space="preserve">ועקנין, י' (</w:t>
      </w:r>
      <w:r>
        <w:rPr>
          <w:rFonts w:ascii="Times New Roman" w:cs="Times New Roman" w:eastAsia="Times New Roman" w:hAnsi="Times New Roman"/>
          <w:sz w:val="24"/>
          <w:szCs w:val="24"/>
        </w:rPr>
        <w:t xml:space="preserve">2024</w:t>
      </w:r>
      <w:r>
        <w:rPr>
          <w:rFonts w:ascii="David" w:cs="David" w:eastAsia="David" w:hAnsi="David"/>
          <w:sz w:val="24"/>
          <w:szCs w:val="24"/>
          <w:rtl/>
        </w:rPr>
        <w:t xml:space="preserve">). בין שיקום ללגיטימיות: התפקיד של לגיטימיות בקשר שבין שביעות רצון מתנאי המחיה לשביעות רצון מפעילות חטו"ש בקרב כלואים פליליים בישראל. צוהר לבית הסוהר: מחקרים בכליאה, ביטחון ואכיפה,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62-77.</w:t>
      </w:r>
    </w:p>
    <w:p>
      <w:pPr>
        <w:bidi/>
        <w:spacing w:after="120" w:line="360"/>
        <w:ind w:start="709" w:hanging="709"/>
        <w:jc w:val="right"/>
      </w:pPr>
      <w:r>
        <w:rPr>
          <w:rFonts w:ascii="David" w:cs="David" w:eastAsia="David" w:hAnsi="David"/>
          <w:sz w:val="24"/>
          <w:szCs w:val="24"/>
          <w:rtl/>
        </w:rPr>
        <w:t xml:space="preserve">ועקנין, י'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 סקר תנאי מחיה באגפים פליליים: מערך נתונים סינתטי להוראה, ספר משתנים ובנק שאלות מחקר [חומרי קורס]. סמינריון תנאי כליאה של אסירים פליליים בישראל ובעולם, המכללה האקדמית אשקלון.</w:t>
      </w:r>
    </w:p>
    <w:p>
      <w:pPr>
        <w:bidi/>
        <w:spacing w:after="120" w:line="360"/>
        <w:ind w:start="709" w:hanging="709"/>
        <w:jc w:val="right"/>
      </w:pPr>
      <w:r>
        <w:rPr>
          <w:rFonts w:ascii="David" w:cs="David" w:eastAsia="David" w:hAnsi="David"/>
          <w:sz w:val="24"/>
          <w:szCs w:val="24"/>
          <w:rtl/>
        </w:rPr>
        <w:t xml:space="preserve">יכימוביץ-כהן, נ' (</w:t>
      </w:r>
      <w:r>
        <w:rPr>
          <w:rFonts w:ascii="Times New Roman" w:cs="Times New Roman" w:eastAsia="Times New Roman" w:hAnsi="Times New Roman"/>
          <w:sz w:val="24"/>
          <w:szCs w:val="24"/>
        </w:rPr>
        <w:t xml:space="preserve">2020</w:t>
      </w:r>
      <w:r>
        <w:rPr>
          <w:rFonts w:ascii="David" w:cs="David" w:eastAsia="David" w:hAnsi="David"/>
          <w:sz w:val="24"/>
          <w:szCs w:val="24"/>
          <w:rtl/>
        </w:rPr>
        <w:t xml:space="preserve">). סוגיות בכליאה בישראל. הכנסת, מרכז המחקר והמידע.</w:t>
      </w:r>
    </w:p>
    <w:p>
      <w:pPr>
        <w:spacing w:after="120" w:line="360"/>
        <w:ind w:left="709" w:hanging="709"/>
        <w:jc w:val="left"/>
      </w:pPr>
      <w:r>
        <w:rPr>
          <w:rFonts w:ascii="Times New Roman" w:cs="Times New Roman" w:eastAsia="Times New Roman" w:hAnsi="Times New Roman"/>
          <w:i w:val="false"/>
          <w:iCs w:val="false"/>
          <w:sz w:val="24"/>
          <w:szCs w:val="24"/>
        </w:rPr>
        <w:t xml:space="preserve">Abderhalden, F. P., &amp; Alward, L. (2024). Jailed individuals' perceptions of procedural justice and suicidal ideation: An empirical examination. </w:t>
      </w:r>
      <w:r>
        <w:rPr>
          <w:rFonts w:ascii="Times New Roman" w:cs="Times New Roman" w:eastAsia="Times New Roman" w:hAnsi="Times New Roman"/>
          <w:i/>
          <w:iCs/>
          <w:sz w:val="24"/>
          <w:szCs w:val="24"/>
        </w:rPr>
        <w:t xml:space="preserve">Crime &amp; Delinquency, 70</w:t>
      </w:r>
      <w:r>
        <w:rPr>
          <w:rFonts w:ascii="Times New Roman" w:cs="Times New Roman" w:eastAsia="Times New Roman" w:hAnsi="Times New Roman"/>
          <w:i w:val="false"/>
          <w:iCs w:val="false"/>
          <w:sz w:val="24"/>
          <w:szCs w:val="24"/>
        </w:rPr>
        <w:t xml:space="preserve">(2), 414-440. https://doi.org/10.1177/00111287221106942</w:t>
      </w:r>
    </w:p>
    <w:p>
      <w:pPr>
        <w:spacing w:after="120" w:line="360"/>
        <w:ind w:left="709" w:hanging="709"/>
        <w:jc w:val="left"/>
      </w:pPr>
      <w:r>
        <w:rPr>
          <w:rFonts w:ascii="Times New Roman" w:cs="Times New Roman" w:eastAsia="Times New Roman" w:hAnsi="Times New Roman"/>
          <w:i w:val="false"/>
          <w:iCs w:val="false"/>
          <w:sz w:val="24"/>
          <w:szCs w:val="24"/>
        </w:rPr>
        <w:t xml:space="preserve">Auty, K. M., &amp; Liebling, A. (2024). What is a 'good enough' prison? An empirical analysis of key thresholds using prison moral quality data. </w:t>
      </w:r>
      <w:r>
        <w:rPr>
          <w:rFonts w:ascii="Times New Roman" w:cs="Times New Roman" w:eastAsia="Times New Roman" w:hAnsi="Times New Roman"/>
          <w:i/>
          <w:iCs/>
          <w:sz w:val="24"/>
          <w:szCs w:val="24"/>
        </w:rPr>
        <w:t xml:space="preserve">European Journal of Criminology, 21</w:t>
      </w:r>
      <w:r>
        <w:rPr>
          <w:rFonts w:ascii="Times New Roman" w:cs="Times New Roman" w:eastAsia="Times New Roman" w:hAnsi="Times New Roman"/>
          <w:i w:val="false"/>
          <w:iCs w:val="false"/>
          <w:sz w:val="24"/>
          <w:szCs w:val="24"/>
        </w:rPr>
        <w:t xml:space="preserve">(5), 725-753. https://doi.org/10.1177/14773708241227693</w:t>
      </w:r>
    </w:p>
    <w:p>
      <w:pPr>
        <w:spacing w:after="120" w:line="360"/>
        <w:ind w:left="709" w:hanging="709"/>
        <w:jc w:val="left"/>
      </w:pPr>
      <w:r>
        <w:rPr>
          <w:rFonts w:ascii="Times New Roman" w:cs="Times New Roman" w:eastAsia="Times New Roman" w:hAnsi="Times New Roman"/>
          <w:i w:val="false"/>
          <w:iCs w:val="false"/>
          <w:sz w:val="24"/>
          <w:szCs w:val="24"/>
        </w:rPr>
        <w:t xml:space="preserve">Beijersbergen, K. A., Dirkzwager, A. J. E., Eichelsheim, V. I., van der Laan, P. H., &amp; Nieuwbeerta, P. (2014). Procedural justice and prisoners' mental health problems: A longitudinal study. </w:t>
      </w:r>
      <w:r>
        <w:rPr>
          <w:rFonts w:ascii="Times New Roman" w:cs="Times New Roman" w:eastAsia="Times New Roman" w:hAnsi="Times New Roman"/>
          <w:i/>
          <w:iCs/>
          <w:sz w:val="24"/>
          <w:szCs w:val="24"/>
        </w:rPr>
        <w:t xml:space="preserve">Criminal Behaviour and Mental Health, 24</w:t>
      </w:r>
      <w:r>
        <w:rPr>
          <w:rFonts w:ascii="Times New Roman" w:cs="Times New Roman" w:eastAsia="Times New Roman" w:hAnsi="Times New Roman"/>
          <w:i w:val="false"/>
          <w:iCs w:val="false"/>
          <w:sz w:val="24"/>
          <w:szCs w:val="24"/>
        </w:rPr>
        <w:t xml:space="preserve">(2), 100-112. https://doi.org/10.1002/cbm.1881</w:t>
      </w:r>
    </w:p>
    <w:p>
      <w:pPr>
        <w:spacing w:after="120" w:line="360"/>
        <w:ind w:left="709" w:hanging="709"/>
        <w:jc w:val="left"/>
      </w:pPr>
      <w:r>
        <w:rPr>
          <w:rFonts w:ascii="Times New Roman" w:cs="Times New Roman" w:eastAsia="Times New Roman" w:hAnsi="Times New Roman"/>
          <w:i w:val="false"/>
          <w:iCs w:val="false"/>
          <w:sz w:val="24"/>
          <w:szCs w:val="24"/>
        </w:rPr>
        <w:t xml:space="preserve">Beijersbergen, K. A., Dirkzwager, A. J. E., Molleman, T., van der Laan, P. H., &amp; Nieuwbeerta, P. (2015). Procedural justice in prison: The importance of staff characteristics. </w:t>
      </w:r>
      <w:r>
        <w:rPr>
          <w:rFonts w:ascii="Times New Roman" w:cs="Times New Roman" w:eastAsia="Times New Roman" w:hAnsi="Times New Roman"/>
          <w:i/>
          <w:iCs/>
          <w:sz w:val="24"/>
          <w:szCs w:val="24"/>
        </w:rPr>
        <w:t xml:space="preserve">International Journal of Offender Therapy and Comparative Criminology, 59</w:t>
      </w:r>
      <w:r>
        <w:rPr>
          <w:rFonts w:ascii="Times New Roman" w:cs="Times New Roman" w:eastAsia="Times New Roman" w:hAnsi="Times New Roman"/>
          <w:i w:val="false"/>
          <w:iCs w:val="false"/>
          <w:sz w:val="24"/>
          <w:szCs w:val="24"/>
        </w:rPr>
        <w:t xml:space="preserve">(4), 337-358. https://doi.org/10.1177/0306624X13512767</w:t>
      </w:r>
    </w:p>
    <w:p>
      <w:pPr>
        <w:spacing w:after="120" w:line="360"/>
        <w:ind w:left="709" w:hanging="709"/>
        <w:jc w:val="left"/>
      </w:pPr>
      <w:r>
        <w:rPr>
          <w:rFonts w:ascii="Times New Roman" w:cs="Times New Roman" w:eastAsia="Times New Roman" w:hAnsi="Times New Roman"/>
          <w:i w:val="false"/>
          <w:iCs w:val="false"/>
          <w:sz w:val="24"/>
          <w:szCs w:val="24"/>
        </w:rPr>
        <w:t xml:space="preserve">Brunton-Smith, I., &amp; McCarthy, D. J. (2016). Prison legitimacy and procedural fairness: A multilevel examination of prisoners in England and Wales. </w:t>
      </w:r>
      <w:r>
        <w:rPr>
          <w:rFonts w:ascii="Times New Roman" w:cs="Times New Roman" w:eastAsia="Times New Roman" w:hAnsi="Times New Roman"/>
          <w:i/>
          <w:iCs/>
          <w:sz w:val="24"/>
          <w:szCs w:val="24"/>
        </w:rPr>
        <w:t xml:space="preserve">Justice Quarterly, 33</w:t>
      </w:r>
      <w:r>
        <w:rPr>
          <w:rFonts w:ascii="Times New Roman" w:cs="Times New Roman" w:eastAsia="Times New Roman" w:hAnsi="Times New Roman"/>
          <w:i w:val="false"/>
          <w:iCs w:val="false"/>
          <w:sz w:val="24"/>
          <w:szCs w:val="24"/>
        </w:rPr>
        <w:t xml:space="preserve">(6), 1029-1054. https://doi.org/10.1080/07418825.2015.1023215</w:t>
      </w:r>
    </w:p>
    <w:p>
      <w:pPr>
        <w:spacing w:after="120" w:line="360"/>
        <w:ind w:left="709" w:hanging="709"/>
        <w:jc w:val="left"/>
      </w:pPr>
      <w:r>
        <w:rPr>
          <w:rFonts w:ascii="Times New Roman" w:cs="Times New Roman" w:eastAsia="Times New Roman" w:hAnsi="Times New Roman"/>
          <w:i w:val="false"/>
          <w:iCs w:val="false"/>
          <w:sz w:val="24"/>
          <w:szCs w:val="24"/>
        </w:rPr>
        <w:t xml:space="preserve">Franke, D., Bierie, D., &amp; MacKenzie, D. L. (2010). Legitimacy in corrections: A randomized experiment comparing a boot camp with a prison. </w:t>
      </w:r>
      <w:r>
        <w:rPr>
          <w:rFonts w:ascii="Times New Roman" w:cs="Times New Roman" w:eastAsia="Times New Roman" w:hAnsi="Times New Roman"/>
          <w:i/>
          <w:iCs/>
          <w:sz w:val="24"/>
          <w:szCs w:val="24"/>
        </w:rPr>
        <w:t xml:space="preserve">Criminology &amp; Public Policy, 9</w:t>
      </w:r>
      <w:r>
        <w:rPr>
          <w:rFonts w:ascii="Times New Roman" w:cs="Times New Roman" w:eastAsia="Times New Roman" w:hAnsi="Times New Roman"/>
          <w:i w:val="false"/>
          <w:iCs w:val="false"/>
          <w:sz w:val="24"/>
          <w:szCs w:val="24"/>
        </w:rPr>
        <w:t xml:space="preserve">(1), 89-117. https://doi.org/10.1111/j.1745-9133.2010.00613.x</w:t>
      </w:r>
    </w:p>
    <w:p>
      <w:pPr>
        <w:spacing w:after="120" w:line="360"/>
        <w:ind w:left="709" w:hanging="709"/>
        <w:jc w:val="left"/>
      </w:pPr>
      <w:r>
        <w:rPr>
          <w:rFonts w:ascii="Times New Roman" w:cs="Times New Roman" w:eastAsia="Times New Roman" w:hAnsi="Times New Roman"/>
          <w:i w:val="false"/>
          <w:iCs w:val="false"/>
          <w:sz w:val="24"/>
          <w:szCs w:val="24"/>
        </w:rPr>
        <w:t xml:space="preserve">Hacin, R., &amp; Meško, G. (2018). Prisoners' perception of legitimacy of the prison staff: A qualitative study in Slovene prisons. </w:t>
      </w:r>
      <w:r>
        <w:rPr>
          <w:rFonts w:ascii="Times New Roman" w:cs="Times New Roman" w:eastAsia="Times New Roman" w:hAnsi="Times New Roman"/>
          <w:i/>
          <w:iCs/>
          <w:sz w:val="24"/>
          <w:szCs w:val="24"/>
        </w:rPr>
        <w:t xml:space="preserve">International Journal of Offender Therapy and Comparative Criminology, 62</w:t>
      </w:r>
      <w:r>
        <w:rPr>
          <w:rFonts w:ascii="Times New Roman" w:cs="Times New Roman" w:eastAsia="Times New Roman" w:hAnsi="Times New Roman"/>
          <w:i w:val="false"/>
          <w:iCs w:val="false"/>
          <w:sz w:val="24"/>
          <w:szCs w:val="24"/>
        </w:rPr>
        <w:t xml:space="preserve">(13), 4332-4350. https://doi.org/10.1177/0306624X18758896</w:t>
      </w:r>
    </w:p>
    <w:p>
      <w:pPr>
        <w:spacing w:after="120" w:line="360"/>
        <w:ind w:left="709" w:hanging="709"/>
        <w:jc w:val="left"/>
      </w:pPr>
      <w:r>
        <w:rPr>
          <w:rFonts w:ascii="Times New Roman" w:cs="Times New Roman" w:eastAsia="Times New Roman" w:hAnsi="Times New Roman"/>
          <w:i w:val="false"/>
          <w:iCs w:val="false"/>
          <w:sz w:val="24"/>
          <w:szCs w:val="24"/>
        </w:rPr>
        <w:t xml:space="preserve">Horowitz, V. L., &amp; Hyatt, J. M. (2025). Trusting relationships in prison and well-being after release. </w:t>
      </w:r>
      <w:r>
        <w:rPr>
          <w:rFonts w:ascii="Times New Roman" w:cs="Times New Roman" w:eastAsia="Times New Roman" w:hAnsi="Times New Roman"/>
          <w:i/>
          <w:iCs/>
          <w:sz w:val="24"/>
          <w:szCs w:val="24"/>
        </w:rPr>
        <w:t xml:space="preserve">International Journal of Law, Crime and Justice, 82</w:t>
      </w:r>
      <w:r>
        <w:rPr>
          <w:rFonts w:ascii="Times New Roman" w:cs="Times New Roman" w:eastAsia="Times New Roman" w:hAnsi="Times New Roman"/>
          <w:i w:val="false"/>
          <w:iCs w:val="false"/>
          <w:sz w:val="24"/>
          <w:szCs w:val="24"/>
        </w:rPr>
        <w:t xml:space="preserve">, Article 100755. https://www.sciencedirect.com/science/article/pii/S2666560325001513</w:t>
      </w:r>
    </w:p>
    <w:p>
      <w:pPr>
        <w:spacing w:after="120" w:line="360"/>
        <w:ind w:left="709" w:hanging="709"/>
        <w:jc w:val="left"/>
      </w:pPr>
      <w:r>
        <w:rPr>
          <w:rFonts w:ascii="Times New Roman" w:cs="Times New Roman" w:eastAsia="Times New Roman" w:hAnsi="Times New Roman"/>
          <w:i w:val="false"/>
          <w:iCs w:val="false"/>
          <w:sz w:val="24"/>
          <w:szCs w:val="24"/>
        </w:rPr>
        <w:t xml:space="preserve">Liebling, A. (2004). </w:t>
      </w:r>
      <w:r>
        <w:rPr>
          <w:rFonts w:ascii="Times New Roman" w:cs="Times New Roman" w:eastAsia="Times New Roman" w:hAnsi="Times New Roman"/>
          <w:i/>
          <w:iCs/>
          <w:sz w:val="24"/>
          <w:szCs w:val="24"/>
        </w:rPr>
        <w:t xml:space="preserve">Prisons and their moral performance: A study of values, quality, and prison life</w:t>
      </w:r>
      <w:r>
        <w:rPr>
          <w:rFonts w:ascii="Times New Roman" w:cs="Times New Roman" w:eastAsia="Times New Roman" w:hAnsi="Times New Roman"/>
          <w:i w:val="false"/>
          <w:iCs w:val="false"/>
          <w:sz w:val="24"/>
          <w:szCs w:val="24"/>
        </w:rPr>
        <w:t xml:space="preserve">. Oxford University Press.</w:t>
      </w:r>
    </w:p>
    <w:p>
      <w:pPr>
        <w:spacing w:after="120" w:line="360"/>
        <w:ind w:left="709" w:hanging="709"/>
        <w:jc w:val="left"/>
      </w:pPr>
      <w:r>
        <w:rPr>
          <w:rFonts w:ascii="Times New Roman" w:cs="Times New Roman" w:eastAsia="Times New Roman" w:hAnsi="Times New Roman"/>
          <w:i w:val="false"/>
          <w:iCs w:val="false"/>
          <w:sz w:val="24"/>
          <w:szCs w:val="24"/>
        </w:rPr>
        <w:t xml:space="preserve">Liebling, A., &amp; Maruna, S. (Eds.). (2005). </w:t>
      </w:r>
      <w:r>
        <w:rPr>
          <w:rFonts w:ascii="Times New Roman" w:cs="Times New Roman" w:eastAsia="Times New Roman" w:hAnsi="Times New Roman"/>
          <w:i/>
          <w:iCs/>
          <w:sz w:val="24"/>
          <w:szCs w:val="24"/>
        </w:rPr>
        <w:t xml:space="preserve">The effects of imprisonment</w:t>
      </w:r>
      <w:r>
        <w:rPr>
          <w:rFonts w:ascii="Times New Roman" w:cs="Times New Roman" w:eastAsia="Times New Roman" w:hAnsi="Times New Roman"/>
          <w:i w:val="false"/>
          <w:iCs w:val="false"/>
          <w:sz w:val="24"/>
          <w:szCs w:val="24"/>
        </w:rPr>
        <w:t xml:space="preserve">. Willan.</w:t>
      </w:r>
    </w:p>
    <w:p>
      <w:pPr>
        <w:spacing w:after="120" w:line="360"/>
        <w:ind w:left="709" w:hanging="709"/>
        <w:jc w:val="left"/>
      </w:pPr>
      <w:r>
        <w:rPr>
          <w:rFonts w:ascii="Times New Roman" w:cs="Times New Roman" w:eastAsia="Times New Roman" w:hAnsi="Times New Roman"/>
          <w:i w:val="false"/>
          <w:iCs w:val="false"/>
          <w:sz w:val="24"/>
          <w:szCs w:val="24"/>
        </w:rPr>
        <w:t xml:space="preserve">Ryan, C., &amp; Bergin, M. (2022). Procedural justice and legitimacy in prisons: A review of extant empirical literature. </w:t>
      </w:r>
      <w:r>
        <w:rPr>
          <w:rFonts w:ascii="Times New Roman" w:cs="Times New Roman" w:eastAsia="Times New Roman" w:hAnsi="Times New Roman"/>
          <w:i/>
          <w:iCs/>
          <w:sz w:val="24"/>
          <w:szCs w:val="24"/>
        </w:rPr>
        <w:t xml:space="preserve">Criminal Justice and Behavior, 49</w:t>
      </w:r>
      <w:r>
        <w:rPr>
          <w:rFonts w:ascii="Times New Roman" w:cs="Times New Roman" w:eastAsia="Times New Roman" w:hAnsi="Times New Roman"/>
          <w:i w:val="false"/>
          <w:iCs w:val="false"/>
          <w:sz w:val="24"/>
          <w:szCs w:val="24"/>
        </w:rPr>
        <w:t xml:space="preserve">(2), 143-163. https://doi.org/10.1177/00938548211053367</w:t>
      </w:r>
    </w:p>
    <w:p>
      <w:pPr>
        <w:spacing w:after="120" w:line="360"/>
        <w:ind w:left="709" w:hanging="709"/>
        <w:jc w:val="left"/>
      </w:pPr>
      <w:r>
        <w:rPr>
          <w:rFonts w:ascii="Times New Roman" w:cs="Times New Roman" w:eastAsia="Times New Roman" w:hAnsi="Times New Roman"/>
          <w:i w:val="false"/>
          <w:iCs w:val="false"/>
          <w:sz w:val="24"/>
          <w:szCs w:val="24"/>
        </w:rPr>
        <w:t xml:space="preserve">Sargeant, E., Murphy, K., Barkworth, J., &amp; Howard, M. v. A. (2026). Procedural justice and mental well-being in prisons: The mediating roles of staff relationships and prison safety. </w:t>
      </w:r>
      <w:r>
        <w:rPr>
          <w:rFonts w:ascii="Times New Roman" w:cs="Times New Roman" w:eastAsia="Times New Roman" w:hAnsi="Times New Roman"/>
          <w:i/>
          <w:iCs/>
          <w:sz w:val="24"/>
          <w:szCs w:val="24"/>
        </w:rPr>
        <w:t xml:space="preserve">Criminal Justice and Behavior</w:t>
      </w:r>
      <w:r>
        <w:rPr>
          <w:rFonts w:ascii="Times New Roman" w:cs="Times New Roman" w:eastAsia="Times New Roman" w:hAnsi="Times New Roman"/>
          <w:i w:val="false"/>
          <w:iCs w:val="false"/>
          <w:sz w:val="24"/>
          <w:szCs w:val="24"/>
        </w:rPr>
        <w:t xml:space="preserve">. Advance online publication. https://doi.org/10.1177/00938548251400649</w:t>
      </w:r>
    </w:p>
    <w:p>
      <w:pPr>
        <w:spacing w:after="120" w:line="360"/>
        <w:ind w:left="709" w:hanging="709"/>
        <w:jc w:val="left"/>
      </w:pPr>
      <w:r>
        <w:rPr>
          <w:rFonts w:ascii="Times New Roman" w:cs="Times New Roman" w:eastAsia="Times New Roman" w:hAnsi="Times New Roman"/>
          <w:i w:val="false"/>
          <w:iCs w:val="false"/>
          <w:sz w:val="24"/>
          <w:szCs w:val="24"/>
        </w:rPr>
        <w:t xml:space="preserve">Sparks, J. R., &amp; Bottoms, A. E. (1995). Legitimacy and order in prisons. </w:t>
      </w:r>
      <w:r>
        <w:rPr>
          <w:rFonts w:ascii="Times New Roman" w:cs="Times New Roman" w:eastAsia="Times New Roman" w:hAnsi="Times New Roman"/>
          <w:i/>
          <w:iCs/>
          <w:sz w:val="24"/>
          <w:szCs w:val="24"/>
        </w:rPr>
        <w:t xml:space="preserve">British Journal of Sociology, 46</w:t>
      </w:r>
      <w:r>
        <w:rPr>
          <w:rFonts w:ascii="Times New Roman" w:cs="Times New Roman" w:eastAsia="Times New Roman" w:hAnsi="Times New Roman"/>
          <w:i w:val="false"/>
          <w:iCs w:val="false"/>
          <w:sz w:val="24"/>
          <w:szCs w:val="24"/>
        </w:rPr>
        <w:t xml:space="preserve">(1), 45-62. https://doi.org/10.2307/591622</w:t>
      </w:r>
    </w:p>
    <w:p>
      <w:pPr>
        <w:spacing w:after="120" w:line="360"/>
        <w:ind w:left="709" w:hanging="709"/>
        <w:jc w:val="left"/>
      </w:pPr>
      <w:r>
        <w:rPr>
          <w:rFonts w:ascii="Times New Roman" w:cs="Times New Roman" w:eastAsia="Times New Roman" w:hAnsi="Times New Roman"/>
          <w:i w:val="false"/>
          <w:iCs w:val="false"/>
          <w:sz w:val="24"/>
          <w:szCs w:val="24"/>
        </w:rPr>
        <w:t xml:space="preserve">Sykes, G. M. (1958). </w:t>
      </w:r>
      <w:r>
        <w:rPr>
          <w:rFonts w:ascii="Times New Roman" w:cs="Times New Roman" w:eastAsia="Times New Roman" w:hAnsi="Times New Roman"/>
          <w:i/>
          <w:iCs/>
          <w:sz w:val="24"/>
          <w:szCs w:val="24"/>
        </w:rPr>
        <w:t xml:space="preserve">The society of captives: A study of a maximum security prison</w:t>
      </w:r>
      <w:r>
        <w:rPr>
          <w:rFonts w:ascii="Times New Roman" w:cs="Times New Roman" w:eastAsia="Times New Roman" w:hAnsi="Times New Roman"/>
          <w:i w:val="false"/>
          <w:iCs w:val="false"/>
          <w:sz w:val="24"/>
          <w:szCs w:val="24"/>
        </w:rPr>
        <w:t xml:space="preserve">. Princeton University Press.</w:t>
      </w:r>
    </w:p>
    <w:p>
      <w:pPr>
        <w:spacing w:after="120" w:line="360"/>
        <w:ind w:left="709" w:hanging="709"/>
        <w:jc w:val="left"/>
      </w:pPr>
      <w:r>
        <w:rPr>
          <w:rFonts w:ascii="Times New Roman" w:cs="Times New Roman" w:eastAsia="Times New Roman" w:hAnsi="Times New Roman"/>
          <w:i w:val="false"/>
          <w:iCs w:val="false"/>
          <w:sz w:val="24"/>
          <w:szCs w:val="24"/>
        </w:rPr>
        <w:t xml:space="preserve">Tyler, T. R. (1990). </w:t>
      </w:r>
      <w:r>
        <w:rPr>
          <w:rFonts w:ascii="Times New Roman" w:cs="Times New Roman" w:eastAsia="Times New Roman" w:hAnsi="Times New Roman"/>
          <w:i/>
          <w:iCs/>
          <w:sz w:val="24"/>
          <w:szCs w:val="24"/>
        </w:rPr>
        <w:t xml:space="preserve">Why people obey the law</w:t>
      </w:r>
      <w:r>
        <w:rPr>
          <w:rFonts w:ascii="Times New Roman" w:cs="Times New Roman" w:eastAsia="Times New Roman" w:hAnsi="Times New Roman"/>
          <w:i w:val="false"/>
          <w:iCs w:val="false"/>
          <w:sz w:val="24"/>
          <w:szCs w:val="24"/>
        </w:rPr>
        <w:t xml:space="preserve">. Yale University Press.</w:t>
      </w:r>
    </w:p>
    <w:p>
      <w:pPr>
        <w:spacing w:after="120" w:line="360"/>
        <w:ind w:left="709" w:hanging="709"/>
        <w:jc w:val="left"/>
      </w:pPr>
      <w:r>
        <w:rPr>
          <w:rFonts w:ascii="Times New Roman" w:cs="Times New Roman" w:eastAsia="Times New Roman" w:hAnsi="Times New Roman"/>
          <w:i w:val="false"/>
          <w:iCs w:val="false"/>
          <w:sz w:val="24"/>
          <w:szCs w:val="24"/>
        </w:rPr>
        <w:t xml:space="preserve">Van Ginneken, E. F. J. C., Palmen, H., Bosma, A. Q., &amp; Sentse, M. (2019). Bearing the weight of imprisonment: The relationship between prison climate and well-being. </w:t>
      </w:r>
      <w:r>
        <w:rPr>
          <w:rFonts w:ascii="Times New Roman" w:cs="Times New Roman" w:eastAsia="Times New Roman" w:hAnsi="Times New Roman"/>
          <w:i/>
          <w:iCs/>
          <w:sz w:val="24"/>
          <w:szCs w:val="24"/>
        </w:rPr>
        <w:t xml:space="preserve">Criminal Justice and Behavior, 46</w:t>
      </w:r>
      <w:r>
        <w:rPr>
          <w:rFonts w:ascii="Times New Roman" w:cs="Times New Roman" w:eastAsia="Times New Roman" w:hAnsi="Times New Roman"/>
          <w:i w:val="false"/>
          <w:iCs w:val="false"/>
          <w:sz w:val="24"/>
          <w:szCs w:val="24"/>
        </w:rPr>
        <w:t xml:space="preserve">(10), 1385-1404. https://doi.org/10.1177/0093854819867373</w:t>
      </w:r>
    </w:p>
    <w:p>
      <w:pPr>
        <w:spacing w:after="120" w:line="360"/>
        <w:ind w:left="709" w:hanging="709"/>
        <w:jc w:val="left"/>
      </w:pPr>
      <w:r>
        <w:rPr>
          <w:rFonts w:ascii="Times New Roman" w:cs="Times New Roman" w:eastAsia="Times New Roman" w:hAnsi="Times New Roman"/>
          <w:i w:val="false"/>
          <w:iCs w:val="false"/>
          <w:sz w:val="24"/>
          <w:szCs w:val="24"/>
        </w:rPr>
        <w:t xml:space="preserve">van Hall, M., Baker, T., Nieuwbeerta, P., &amp; Dirkzwager, A. J. E. (2025). Procedural justice spill-over and recidivism after release from prison. </w:t>
      </w:r>
      <w:r>
        <w:rPr>
          <w:rFonts w:ascii="Times New Roman" w:cs="Times New Roman" w:eastAsia="Times New Roman" w:hAnsi="Times New Roman"/>
          <w:i/>
          <w:iCs/>
          <w:sz w:val="24"/>
          <w:szCs w:val="24"/>
        </w:rPr>
        <w:t xml:space="preserve">Crime &amp; Delinquency</w:t>
      </w:r>
      <w:r>
        <w:rPr>
          <w:rFonts w:ascii="Times New Roman" w:cs="Times New Roman" w:eastAsia="Times New Roman" w:hAnsi="Times New Roman"/>
          <w:i w:val="false"/>
          <w:iCs w:val="false"/>
          <w:sz w:val="24"/>
          <w:szCs w:val="24"/>
        </w:rPr>
        <w:t xml:space="preserve">. Advance online publication. https://doi.org/10.1177/00111287241248104</w:t>
      </w:r>
    </w:p>
    <w:p>
      <w:pPr>
        <w:pStyle w:val="Heading1"/>
        <w:pageBreakBefore/>
        <w:bidi/>
        <w:spacing w:after="240" w:before="0" w:line="360"/>
        <w:jc w:val="right"/>
      </w:pPr>
      <w:r>
        <w:rPr>
          <w:rFonts w:ascii="David" w:cs="David" w:eastAsia="David" w:hAnsi="David"/>
          <w:b/>
          <w:bCs/>
          <w:sz w:val="32"/>
          <w:szCs w:val="32"/>
          <w:rtl/>
        </w:rPr>
        <w:t xml:space="preserve">נספח</w:t>
      </w:r>
    </w:p>
    <w:p>
      <w:pPr>
        <w:pStyle w:val="Heading2"/>
        <w:keepNext/>
        <w:bidi/>
        <w:spacing w:after="120" w:before="240" w:line="360"/>
        <w:jc w:val="right"/>
      </w:pPr>
      <w:r>
        <w:rPr>
          <w:rFonts w:ascii="David" w:cs="David" w:eastAsia="David" w:hAnsi="David"/>
          <w:b/>
          <w:bCs/>
          <w:sz w:val="28"/>
          <w:szCs w:val="28"/>
          <w:rtl/>
        </w:rPr>
        <w:t xml:space="preserve">נספח: פלטי SPSS</w:t>
      </w:r>
    </w:p>
    <w:p>
      <w:pPr>
        <w:bidi/>
        <w:spacing w:after="120" w:line="360"/>
        <w:jc w:val="both"/>
      </w:pPr>
      <w:r>
        <w:rPr>
          <w:rFonts w:ascii="David" w:cs="David" w:eastAsia="David" w:hAnsi="David"/>
          <w:sz w:val="24"/>
          <w:szCs w:val="24"/>
          <w:rtl/>
        </w:rPr>
        <w:t xml:space="preserve">להלן הלוחות המרכזיים מפלט ה-</w:t>
      </w:r>
      <w:r>
        <w:rPr>
          <w:rFonts w:ascii="Times New Roman" w:cs="Times New Roman" w:eastAsia="Times New Roman" w:hAnsi="Times New Roman"/>
          <w:sz w:val="24"/>
          <w:szCs w:val="24"/>
        </w:rPr>
        <w:t xml:space="preserve">SPSS</w:t>
      </w:r>
      <w:r>
        <w:rPr>
          <w:rFonts w:ascii="David" w:cs="David" w:eastAsia="David" w:hAnsi="David"/>
          <w:sz w:val="24"/>
          <w:szCs w:val="24"/>
          <w:rtl/>
        </w:rPr>
        <w:t xml:space="preserve"> (קובץ </w:t>
      </w:r>
      <w:r>
        <w:rPr>
          <w:rFonts w:ascii="Times New Roman" w:cs="Times New Roman" w:eastAsia="Times New Roman" w:hAnsi="Times New Roman"/>
          <w:sz w:val="24"/>
          <w:szCs w:val="24"/>
        </w:rPr>
        <w:t xml:space="preserve">OUTPUT2</w:t>
      </w:r>
      <w:r>
        <w:rPr>
          <w:rFonts w:ascii="David" w:cs="David" w:eastAsia="David" w:hAnsi="David"/>
          <w:sz w:val="24"/>
          <w:szCs w:val="24"/>
          <w:rtl/>
        </w:rPr>
        <w:t xml:space="preserve">, הרצה מיום </w:t>
      </w:r>
      <w:r>
        <w:rPr>
          <w:rFonts w:ascii="Times New Roman" w:cs="Times New Roman" w:eastAsia="Times New Roman" w:hAnsi="Times New Roman"/>
          <w:sz w:val="24"/>
          <w:szCs w:val="24"/>
        </w:rPr>
        <w:t xml:space="preserve">8</w:t>
      </w:r>
      <w:r>
        <w:rPr>
          <w:rFonts w:ascii="David" w:cs="David" w:eastAsia="David" w:hAnsi="David"/>
          <w:sz w:val="24"/>
          <w:szCs w:val="24"/>
          <w:rtl/>
        </w:rPr>
        <w:t xml:space="preserve"> בספטמבר </w:t>
      </w:r>
      <w:r>
        <w:rPr>
          <w:rFonts w:ascii="Times New Roman" w:cs="Times New Roman" w:eastAsia="Times New Roman" w:hAnsi="Times New Roman"/>
          <w:sz w:val="24"/>
          <w:szCs w:val="24"/>
        </w:rPr>
        <w:t xml:space="preserve">2026</w:t>
      </w:r>
      <w:r>
        <w:rPr>
          <w:rFonts w:ascii="David" w:cs="David" w:eastAsia="David" w:hAnsi="David"/>
          <w:sz w:val="24"/>
          <w:szCs w:val="24"/>
          <w:rtl/>
        </w:rPr>
        <w:t xml:space="preserve">), בעריכה קלה. הפלט המלא, כולל התרשימים, מצורף לעבודה כקובץ נפרד.</w:t>
      </w:r>
    </w:p>
    <w:p>
      <w:pPr>
        <w:keepNext/>
        <w:bidi/>
        <w:spacing w:after="80" w:before="200" w:line="360"/>
        <w:jc w:val="right"/>
      </w:pPr>
      <w:r>
        <w:rPr>
          <w:rFonts w:ascii="David" w:cs="David" w:eastAsia="David" w:hAnsi="David"/>
          <w:b/>
          <w:bCs/>
          <w:sz w:val="24"/>
          <w:szCs w:val="24"/>
          <w:rtl/>
        </w:rPr>
        <w:t xml:space="preserve">א</w:t>
      </w: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Crosstabs, inmate</w:t>
      </w:r>
      <w:r>
        <w:rPr>
          <w:rFonts w:ascii="David" w:cs="David" w:eastAsia="David" w:hAnsi="David"/>
          <w:b/>
          <w:bCs/>
          <w:sz w:val="24"/>
          <w:szCs w:val="24"/>
          <w:rtl/>
        </w:rPr>
        <w:t xml:space="preserve">_</w:t>
      </w:r>
      <w:r>
        <w:rPr>
          <w:rFonts w:ascii="Times New Roman" w:cs="Times New Roman" w:eastAsia="Times New Roman" w:hAnsi="Times New Roman"/>
          <w:b/>
          <w:bCs/>
          <w:sz w:val="24"/>
          <w:szCs w:val="24"/>
        </w:rPr>
        <w:t xml:space="preserve">type</w:t>
      </w:r>
      <w:r>
        <w:rPr>
          <w:rFonts w:ascii="David" w:cs="David" w:eastAsia="David" w:hAnsi="David"/>
          <w:b/>
          <w:bCs/>
          <w:sz w:val="24"/>
          <w:szCs w:val="24"/>
          <w:rtl/>
        </w:rPr>
        <w:t xml:space="preserve"> * סוג האסיר (מקודד)</w:t>
      </w:r>
    </w:p>
    <w:tbl>
      <w:tblPr>
        <w:bidiVisual/>
        <w:tblW w:type="dxa" w:w="7800"/>
        <w:tblBorders>
          <w:top w:val="single" w:color="000000" w:sz="4"/>
          <w:left w:val="none" w:color="FFFFFF" w:sz="0"/>
          <w:bottom w:val="single" w:color="000000" w:sz="4"/>
          <w:right w:val="none" w:color="FFFFFF" w:sz="0"/>
          <w:insideH w:val="none" w:color="FFFFFF" w:sz="0"/>
          <w:insideV w:val="none" w:color="FFFFFF" w:sz="0"/>
        </w:tblBorders>
      </w:tblPr>
      <w:tblGrid>
        <w:gridCol w:w="2600"/>
        <w:gridCol w:w="1800"/>
        <w:gridCol w:w="1800"/>
        <w:gridCol w:w="1600"/>
      </w:tblGrid>
      <w:tr>
        <w:trPr>
          <w:cantSplit/>
          <w:tblHeader/>
        </w:trPr>
        <w:tc>
          <w:tcPr>
            <w:tcW w:type="dxa" w:w="2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inmate_type</w:t>
            </w:r>
          </w:p>
        </w:tc>
        <w:tc>
          <w:tcPr>
            <w:tcW w:type="dxa" w:w="1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עצור פלילי</w:t>
            </w:r>
          </w:p>
        </w:tc>
        <w:tc>
          <w:tcPr>
            <w:tcW w:type="dxa" w:w="1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פלילי שפוט</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Total</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עצורים פליליים</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1411</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1411</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פליליים</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Total</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1411</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3790</w:t>
            </w:r>
          </w:p>
        </w:tc>
      </w:tr>
    </w:tbl>
    <w:p>
      <w:pPr>
        <w:keepNext/>
        <w:bidi/>
        <w:spacing w:after="80" w:before="200" w:line="360"/>
        <w:jc w:val="right"/>
      </w:pPr>
      <w:r>
        <w:rPr>
          <w:rFonts w:ascii="David" w:cs="David" w:eastAsia="David" w:hAnsi="David"/>
          <w:b/>
          <w:bCs/>
          <w:sz w:val="24"/>
          <w:szCs w:val="24"/>
          <w:rtl/>
        </w:rPr>
        <w:t xml:space="preserve">א</w:t>
      </w: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Frequencies, Statistics (Filter: filt</w:t>
      </w:r>
      <w:r>
        <w:rPr>
          <w:rFonts w:ascii="David" w:cs="David" w:eastAsia="David" w:hAnsi="David"/>
          <w:b/>
          <w:bCs/>
          <w:sz w:val="24"/>
          <w:szCs w:val="24"/>
          <w:rtl/>
        </w:rPr>
        <w:t xml:space="preserve">_</w:t>
      </w:r>
      <w:r>
        <w:rPr>
          <w:rFonts w:ascii="Times New Roman" w:cs="Times New Roman" w:eastAsia="Times New Roman" w:hAnsi="Times New Roman"/>
          <w:b/>
          <w:bCs/>
          <w:sz w:val="24"/>
          <w:szCs w:val="24"/>
        </w:rPr>
        <w:t xml:space="preserve">shafut</w:t>
      </w:r>
      <w:r>
        <w:rPr>
          <w:rFonts w:ascii="David" w:cs="David" w:eastAsia="David" w:hAnsi="David"/>
          <w:b/>
          <w:bCs/>
          <w:sz w:val="24"/>
          <w:szCs w:val="24"/>
          <w:rtl/>
        </w:rPr>
        <w:t xml:space="preserve">)</w:t>
      </w:r>
    </w:p>
    <w:tbl>
      <w:tblPr>
        <w:bidiVisual/>
        <w:tblW w:type="dxa" w:w="8800"/>
        <w:tblBorders>
          <w:top w:val="single" w:color="000000" w:sz="4"/>
          <w:left w:val="none" w:color="FFFFFF" w:sz="0"/>
          <w:bottom w:val="single" w:color="000000" w:sz="4"/>
          <w:right w:val="none" w:color="FFFFFF" w:sz="0"/>
          <w:insideH w:val="none" w:color="FFFFFF" w:sz="0"/>
          <w:insideV w:val="none" w:color="FFFFFF" w:sz="0"/>
        </w:tblBorders>
      </w:tblPr>
      <w:tblGrid>
        <w:gridCol w:w="3000"/>
        <w:gridCol w:w="800"/>
        <w:gridCol w:w="800"/>
        <w:gridCol w:w="800"/>
        <w:gridCol w:w="800"/>
        <w:gridCol w:w="800"/>
        <w:gridCol w:w="900"/>
        <w:gridCol w:w="900"/>
      </w:tblGrid>
      <w:tr>
        <w:trPr>
          <w:cantSplit/>
          <w:tblHeader/>
        </w:trPr>
        <w:tc>
          <w:tcPr>
            <w:tcW w:type="dxa" w:w="3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פריט</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N Valid</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Missing</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Mean</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Median</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SD</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Skewness</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Kurtosis</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אפשר לדבר עם הסוהרים אם מודאג או עצוב</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4.06</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1.162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-1.246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0.757</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הסוהרים מתייחסים אליי בכבוד</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2306</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73</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4.44</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0.855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-1.673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2.682</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שביעות רצון מהטיפול בבקשות</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2152</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227</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4.25</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1.130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-1.583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1.633</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השתפרה מאז המאסר</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4.05</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1.108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-1.142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0.648</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הגופנית טובה</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3.69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1.229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-0.658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-0.452</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הנפשית טובה</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3.83</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1.195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-0.788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-0.252</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תחושת שמחה בחודש האחרון</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3.58</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1.152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-0.547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-0.387</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שביעות רצון מהחיים בחודש האחרון</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3.75</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1.127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-0.155</w:t>
            </w:r>
          </w:p>
        </w:tc>
      </w:tr>
    </w:tbl>
    <w:p>
      <w:pPr>
        <w:keepNext/>
        <w:bidi/>
        <w:spacing w:after="80" w:before="200" w:line="360"/>
        <w:jc w:val="right"/>
      </w:pPr>
      <w:r>
        <w:rPr>
          <w:rFonts w:ascii="David" w:cs="David" w:eastAsia="David" w:hAnsi="David"/>
          <w:b/>
          <w:bCs/>
          <w:sz w:val="24"/>
          <w:szCs w:val="24"/>
          <w:rtl/>
        </w:rPr>
        <w:t xml:space="preserve">א</w:t>
      </w: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Reliability, Scale</w:t>
      </w:r>
      <w:r>
        <w:rPr>
          <w:rFonts w:ascii="David" w:cs="David" w:eastAsia="David" w:hAnsi="David"/>
          <w:b/>
          <w:bCs/>
          <w:sz w:val="24"/>
          <w:szCs w:val="24"/>
          <w:rtl/>
        </w:rPr>
        <w:t xml:space="preserve">: לגיטימיות הסגל </w:t>
      </w:r>
      <w:r>
        <w:rPr>
          <w:rFonts w:ascii="Times New Roman" w:cs="Times New Roman" w:eastAsia="Times New Roman" w:hAnsi="Times New Roman"/>
          <w:b/>
          <w:bCs/>
          <w:sz w:val="24"/>
          <w:szCs w:val="24"/>
        </w:rPr>
        <w:t xml:space="preserve">(Cases Valid 2114, Excluded 265)</w:t>
      </w:r>
    </w:p>
    <w:tbl>
      <w:tblPr>
        <w:bidiVisual/>
        <w:tblW w:type="dxa" w:w="7800"/>
        <w:tblBorders>
          <w:top w:val="single" w:color="000000" w:sz="4"/>
          <w:left w:val="none" w:color="FFFFFF" w:sz="0"/>
          <w:bottom w:val="single" w:color="000000" w:sz="4"/>
          <w:right w:val="none" w:color="FFFFFF" w:sz="0"/>
          <w:insideH w:val="none" w:color="FFFFFF" w:sz="0"/>
          <w:insideV w:val="none" w:color="FFFFFF" w:sz="0"/>
        </w:tblBorders>
      </w:tblPr>
      <w:tblGrid>
        <w:gridCol w:w="4600"/>
        <w:gridCol w:w="3200"/>
      </w:tblGrid>
      <w:tr>
        <w:trPr>
          <w:cantSplit/>
          <w:tblHeader/>
        </w:trPr>
        <w:tc>
          <w:tcPr>
            <w:tcW w:type="dxa" w:w="4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Statistic</w:t>
            </w:r>
          </w:p>
        </w:tc>
        <w:tc>
          <w:tcPr>
            <w:tcW w:type="dxa" w:w="3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Value</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Cronbach's Alpha</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0.666</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Cronbach's Alpha Based on Standardized Items</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0.683</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N of Items</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Scale Mean / Variance / SD</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12.82 / 6.015 / 2.453</w:t>
            </w:r>
          </w:p>
        </w:tc>
      </w:tr>
    </w:tbl>
    <w:tbl>
      <w:tblPr>
        <w:bidiVisual/>
        <w:tblW w:type="dxa" w:w="8500"/>
        <w:tblBorders>
          <w:top w:val="single" w:color="000000" w:sz="4"/>
          <w:left w:val="none" w:color="FFFFFF" w:sz="0"/>
          <w:bottom w:val="single" w:color="000000" w:sz="4"/>
          <w:right w:val="none" w:color="FFFFFF" w:sz="0"/>
          <w:insideH w:val="none" w:color="FFFFFF" w:sz="0"/>
          <w:insideV w:val="none" w:color="FFFFFF" w:sz="0"/>
        </w:tblBorders>
      </w:tblPr>
      <w:tblGrid>
        <w:gridCol w:w="3000"/>
        <w:gridCol w:w="800"/>
        <w:gridCol w:w="900"/>
        <w:gridCol w:w="1300"/>
        <w:gridCol w:w="1300"/>
        <w:gridCol w:w="1200"/>
      </w:tblGrid>
      <w:tr>
        <w:trPr>
          <w:cantSplit/>
          <w:tblHeader/>
        </w:trPr>
        <w:tc>
          <w:tcPr>
            <w:tcW w:type="dxa" w:w="3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Item</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Mean</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SD</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Corrected Item-Total Corr.</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Squared Multiple Corr.</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Alpha if Deleted</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אפשר לדבר עם הסוהרים אם מודאג או עצוב</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1.171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0.512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0.321</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0.528</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הסוהרים מתייחסים אליי בכבוד</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4.46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0.850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0.567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0.343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0.498</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שביעות רצון מהטיפול בבקשות</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4.27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1.118</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0.395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0.162</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0.687</w:t>
            </w:r>
          </w:p>
        </w:tc>
      </w:tr>
    </w:tbl>
    <w:p>
      <w:pPr>
        <w:keepNext/>
        <w:bidi/>
        <w:spacing w:after="80" w:before="200" w:line="360"/>
        <w:jc w:val="right"/>
      </w:pPr>
      <w:r>
        <w:rPr>
          <w:rFonts w:ascii="David" w:cs="David" w:eastAsia="David" w:hAnsi="David"/>
          <w:b/>
          <w:bCs/>
          <w:sz w:val="24"/>
          <w:szCs w:val="24"/>
          <w:rtl/>
        </w:rPr>
        <w:t xml:space="preserve">א</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Reliability, Scale</w:t>
      </w:r>
      <w:r>
        <w:rPr>
          <w:rFonts w:ascii="David" w:cs="David" w:eastAsia="David" w:hAnsi="David"/>
          <w:b/>
          <w:bCs/>
          <w:sz w:val="24"/>
          <w:szCs w:val="24"/>
          <w:rtl/>
        </w:rPr>
        <w:t xml:space="preserve">: רווחה נפשית </w:t>
      </w:r>
      <w:r>
        <w:rPr>
          <w:rFonts w:ascii="Times New Roman" w:cs="Times New Roman" w:eastAsia="Times New Roman" w:hAnsi="Times New Roman"/>
          <w:b/>
          <w:bCs/>
          <w:sz w:val="24"/>
          <w:szCs w:val="24"/>
        </w:rPr>
        <w:t xml:space="preserve">(Cases Valid 2379)</w:t>
      </w:r>
    </w:p>
    <w:tbl>
      <w:tblPr>
        <w:bidiVisual/>
        <w:tblW w:type="dxa" w:w="7800"/>
        <w:tblBorders>
          <w:top w:val="single" w:color="000000" w:sz="4"/>
          <w:left w:val="none" w:color="FFFFFF" w:sz="0"/>
          <w:bottom w:val="single" w:color="000000" w:sz="4"/>
          <w:right w:val="none" w:color="FFFFFF" w:sz="0"/>
          <w:insideH w:val="none" w:color="FFFFFF" w:sz="0"/>
          <w:insideV w:val="none" w:color="FFFFFF" w:sz="0"/>
        </w:tblBorders>
      </w:tblPr>
      <w:tblGrid>
        <w:gridCol w:w="4600"/>
        <w:gridCol w:w="3200"/>
      </w:tblGrid>
      <w:tr>
        <w:trPr>
          <w:cantSplit/>
          <w:tblHeader/>
        </w:trPr>
        <w:tc>
          <w:tcPr>
            <w:tcW w:type="dxa" w:w="4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Statistic</w:t>
            </w:r>
          </w:p>
        </w:tc>
        <w:tc>
          <w:tcPr>
            <w:tcW w:type="dxa" w:w="3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Value</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Cronbach's Alpha</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0.805</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Cronbach's Alpha Based on Standardized Items</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0.803</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N of Items</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w:t>
            </w:r>
          </w:p>
        </w:tc>
      </w:tr>
      <w:tr>
        <w:trPr>
          <w:cantSplit/>
        </w:trPr>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Scale Mean / Variance / SD</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18.90 / 18.975 / 4.356</w:t>
            </w:r>
          </w:p>
        </w:tc>
      </w:tr>
    </w:tbl>
    <w:tbl>
      <w:tblPr>
        <w:bidiVisual/>
        <w:tblW w:type="dxa" w:w="8500"/>
        <w:tblBorders>
          <w:top w:val="single" w:color="000000" w:sz="4"/>
          <w:left w:val="none" w:color="FFFFFF" w:sz="0"/>
          <w:bottom w:val="single" w:color="000000" w:sz="4"/>
          <w:right w:val="none" w:color="FFFFFF" w:sz="0"/>
          <w:insideH w:val="none" w:color="FFFFFF" w:sz="0"/>
          <w:insideV w:val="none" w:color="FFFFFF" w:sz="0"/>
        </w:tblBorders>
      </w:tblPr>
      <w:tblGrid>
        <w:gridCol w:w="3000"/>
        <w:gridCol w:w="800"/>
        <w:gridCol w:w="900"/>
        <w:gridCol w:w="1300"/>
        <w:gridCol w:w="1300"/>
        <w:gridCol w:w="1200"/>
      </w:tblGrid>
      <w:tr>
        <w:trPr>
          <w:cantSplit/>
          <w:tblHeader/>
        </w:trPr>
        <w:tc>
          <w:tcPr>
            <w:tcW w:type="dxa" w:w="3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Item</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Mean</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SD</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Corrected Item-Total Corr.</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Squared Multiple Corr.</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Alpha if Deleted</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השתפרה מאז המאסר</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4.05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1.108</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0.471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0.380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0.801</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הגופנית טובה</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3.69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1.229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0.629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0.534</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0.754</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הבריאות הנפשית טובה</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3.83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1.195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0.684</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0.520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0.736</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תחושת שמחה בחודש האחרון</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3.58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1.152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0.622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0.523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0.757</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שביעות רצון מהחיים בחודש האחרון</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3.75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1.127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0.541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0.429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0.781</w:t>
            </w:r>
          </w:p>
        </w:tc>
      </w:tr>
    </w:tbl>
    <w:p>
      <w:pPr>
        <w:keepNext/>
        <w:bidi/>
        <w:spacing w:after="80" w:before="200" w:line="360"/>
        <w:jc w:val="right"/>
      </w:pPr>
      <w:r>
        <w:rPr>
          <w:rFonts w:ascii="David" w:cs="David" w:eastAsia="David" w:hAnsi="David"/>
          <w:b/>
          <w:bCs/>
          <w:sz w:val="24"/>
          <w:szCs w:val="24"/>
          <w:rtl/>
        </w:rPr>
        <w:t xml:space="preserve">א</w:t>
      </w: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Descriptives</w:t>
      </w:r>
      <w:r>
        <w:rPr>
          <w:rFonts w:ascii="David" w:cs="David" w:eastAsia="David" w:hAnsi="David"/>
          <w:b/>
          <w:bCs/>
          <w:sz w:val="24"/>
          <w:szCs w:val="24"/>
          <w:rtl/>
        </w:rPr>
        <w:t xml:space="preserve"> ו-</w:t>
      </w:r>
      <w:r>
        <w:rPr>
          <w:rFonts w:ascii="Times New Roman" w:cs="Times New Roman" w:eastAsia="Times New Roman" w:hAnsi="Times New Roman"/>
          <w:b/>
          <w:bCs/>
          <w:sz w:val="24"/>
          <w:szCs w:val="24"/>
        </w:rPr>
        <w:t xml:space="preserve">Explore, Tests of Normality</w:t>
      </w:r>
    </w:p>
    <w:tbl>
      <w:tblPr>
        <w:bidiVisual/>
        <w:tblW w:type="dxa" w:w="8900"/>
        <w:tblBorders>
          <w:top w:val="single" w:color="000000" w:sz="4"/>
          <w:left w:val="none" w:color="FFFFFF" w:sz="0"/>
          <w:bottom w:val="single" w:color="000000" w:sz="4"/>
          <w:right w:val="none" w:color="FFFFFF" w:sz="0"/>
          <w:insideH w:val="none" w:color="FFFFFF" w:sz="0"/>
          <w:insideV w:val="none" w:color="FFFFFF" w:sz="0"/>
        </w:tblBorders>
      </w:tblPr>
      <w:tblGrid>
        <w:gridCol w:w="2600"/>
        <w:gridCol w:w="700"/>
        <w:gridCol w:w="700"/>
        <w:gridCol w:w="700"/>
        <w:gridCol w:w="900"/>
        <w:gridCol w:w="900"/>
        <w:gridCol w:w="1200"/>
        <w:gridCol w:w="1200"/>
      </w:tblGrid>
      <w:tr>
        <w:trPr>
          <w:cantSplit/>
          <w:tblHeader/>
        </w:trPr>
        <w:tc>
          <w:tcPr>
            <w:tcW w:type="dxa" w:w="2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Variable</w:t>
            </w:r>
          </w:p>
        </w:tc>
        <w:tc>
          <w:tcPr>
            <w:tcW w:type="dxa" w:w="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N</w:t>
            </w:r>
          </w:p>
        </w:tc>
        <w:tc>
          <w:tcPr>
            <w:tcW w:type="dxa" w:w="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Min</w:t>
            </w:r>
          </w:p>
        </w:tc>
        <w:tc>
          <w:tcPr>
            <w:tcW w:type="dxa" w:w="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Max</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Mean</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SD</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Skewness (SE)</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Kurtosis (SE)</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לגיטימיות הסגל (ממוצע </w:t>
            </w:r>
            <w:r>
              <w:rPr>
                <w:rFonts w:ascii="Times New Roman" w:cs="Times New Roman" w:eastAsia="Times New Roman" w:hAnsi="Times New Roman"/>
                <w:b w:val="false"/>
                <w:bCs w:val="false"/>
                <w:sz w:val="22"/>
                <w:szCs w:val="22"/>
              </w:rPr>
              <w:t xml:space="preserve">3</w:t>
            </w:r>
            <w:r>
              <w:rPr>
                <w:rFonts w:ascii="David" w:cs="David" w:eastAsia="David" w:hAnsi="David"/>
                <w:b w:val="false"/>
                <w:bCs w:val="false"/>
                <w:sz w:val="22"/>
                <w:szCs w:val="22"/>
                <w:rtl/>
              </w:rPr>
              <w:t xml:space="preserve"> פריטים)</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2344</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1.00</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4.2405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0.82894</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-1.159 (0.051)</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0.944 (0.101)</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רווחה נפשית (ממוצע </w:t>
            </w:r>
            <w:r>
              <w:rPr>
                <w:rFonts w:ascii="Times New Roman" w:cs="Times New Roman" w:eastAsia="Times New Roman" w:hAnsi="Times New Roman"/>
                <w:b w:val="false"/>
                <w:bCs w:val="false"/>
                <w:sz w:val="22"/>
                <w:szCs w:val="22"/>
              </w:rPr>
              <w:t xml:space="preserve">5</w:t>
            </w:r>
            <w:r>
              <w:rPr>
                <w:rFonts w:ascii="David" w:cs="David" w:eastAsia="David" w:hAnsi="David"/>
                <w:b w:val="false"/>
                <w:bCs w:val="false"/>
                <w:sz w:val="22"/>
                <w:szCs w:val="22"/>
                <w:rtl/>
              </w:rPr>
              <w:t xml:space="preserve"> פריטים)</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1.00</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5.00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3.7797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0.87119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-0.589 (0.050)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-0.008 (0.100)</w:t>
            </w:r>
          </w:p>
        </w:tc>
      </w:tr>
    </w:tbl>
    <w:tbl>
      <w:tblPr>
        <w:bidiVisual/>
        <w:tblW w:type="dxa" w:w="8500"/>
        <w:tblBorders>
          <w:top w:val="single" w:color="000000" w:sz="4"/>
          <w:left w:val="none" w:color="FFFFFF" w:sz="0"/>
          <w:bottom w:val="single" w:color="000000" w:sz="4"/>
          <w:right w:val="none" w:color="FFFFFF" w:sz="0"/>
          <w:insideH w:val="none" w:color="FFFFFF" w:sz="0"/>
          <w:insideV w:val="none" w:color="FFFFFF" w:sz="0"/>
        </w:tblBorders>
      </w:tblPr>
      <w:tblGrid>
        <w:gridCol w:w="2200"/>
        <w:gridCol w:w="1500"/>
        <w:gridCol w:w="800"/>
        <w:gridCol w:w="900"/>
        <w:gridCol w:w="1400"/>
        <w:gridCol w:w="800"/>
        <w:gridCol w:w="900"/>
      </w:tblGrid>
      <w:tr>
        <w:trPr>
          <w:cantSplit/>
          <w:tblHeader/>
        </w:trPr>
        <w:tc>
          <w:tcPr>
            <w:tcW w:type="dxa" w:w="2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Variable</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Kolmogorov-Smirnov Statistic</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df</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Sig.</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Shapiro-Wilk Statistic</w:t>
            </w:r>
          </w:p>
        </w:tc>
        <w:tc>
          <w:tcPr>
            <w:tcW w:type="dxa" w:w="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df</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Sig.</w:t>
            </w:r>
          </w:p>
        </w:tc>
      </w:tr>
      <w:tr>
        <w:trPr>
          <w:cantSplit/>
        </w:trP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לגיטימיות הסגל</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0.180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2344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0.847</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2344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רווחה נפשית</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0.090</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0.955</w:t>
            </w:r>
          </w:p>
        </w:tc>
        <w:tc>
          <w:tcPr>
            <w:tcW w:type="dxa" w:w="8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2379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bl>
    <w:p>
      <w:pPr>
        <w:keepNext/>
        <w:bidi/>
        <w:spacing w:after="80" w:before="200" w:line="360"/>
        <w:jc w:val="right"/>
      </w:pPr>
      <w:r>
        <w:rPr>
          <w:rFonts w:ascii="David" w:cs="David" w:eastAsia="David" w:hAnsi="David"/>
          <w:b/>
          <w:bCs/>
          <w:sz w:val="24"/>
          <w:szCs w:val="24"/>
          <w:rtl/>
        </w:rPr>
        <w:t xml:space="preserve">א</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Correlations (Pearson)</w:t>
      </w:r>
      <w:r>
        <w:rPr>
          <w:rFonts w:ascii="David" w:cs="David" w:eastAsia="David" w:hAnsi="David"/>
          <w:b/>
          <w:bCs/>
          <w:sz w:val="24"/>
          <w:szCs w:val="24"/>
          <w:rtl/>
        </w:rPr>
        <w:t xml:space="preserve"> ו-</w:t>
      </w:r>
      <w:r>
        <w:rPr>
          <w:rFonts w:ascii="Times New Roman" w:cs="Times New Roman" w:eastAsia="Times New Roman" w:hAnsi="Times New Roman"/>
          <w:b/>
          <w:bCs/>
          <w:sz w:val="24"/>
          <w:szCs w:val="24"/>
        </w:rPr>
        <w:t xml:space="preserve">Nonparametric Correlations (Spearman)</w:t>
      </w:r>
    </w:p>
    <w:tbl>
      <w:tblPr>
        <w:bidiVisual/>
        <w:tblW w:type="dxa" w:w="8200"/>
        <w:tblBorders>
          <w:top w:val="single" w:color="000000" w:sz="4"/>
          <w:left w:val="none" w:color="FFFFFF" w:sz="0"/>
          <w:bottom w:val="single" w:color="000000" w:sz="4"/>
          <w:right w:val="none" w:color="FFFFFF" w:sz="0"/>
          <w:insideH w:val="none" w:color="FFFFFF" w:sz="0"/>
          <w:insideV w:val="none" w:color="FFFFFF" w:sz="0"/>
        </w:tblBorders>
      </w:tblPr>
      <w:tblGrid>
        <w:gridCol w:w="3400"/>
        <w:gridCol w:w="2400"/>
        <w:gridCol w:w="2400"/>
      </w:tblGrid>
      <w:tr>
        <w:trPr>
          <w:cantSplit/>
          <w:tblHeader/>
        </w:trPr>
        <w:tc>
          <w:tcPr>
            <w:tcW w:type="dxa" w:w="3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לגיטימיות הסגל</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David" w:cs="David" w:eastAsia="David" w:hAnsi="David"/>
                <w:b/>
                <w:bCs/>
                <w:sz w:val="22"/>
                <w:szCs w:val="22"/>
                <w:rtl/>
              </w:rPr>
              <w:t xml:space="preserve">רווחה נפשית</w:t>
            </w:r>
          </w:p>
        </w:tc>
      </w:tr>
      <w:tr>
        <w:trPr>
          <w:cantSplit/>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לגיטימיות הסגל: </w:t>
            </w:r>
            <w:r>
              <w:rPr>
                <w:rFonts w:ascii="Times New Roman" w:cs="Times New Roman" w:eastAsia="Times New Roman" w:hAnsi="Times New Roman"/>
                <w:b w:val="false"/>
                <w:bCs w:val="false"/>
                <w:sz w:val="22"/>
                <w:szCs w:val="22"/>
              </w:rPr>
              <w:t xml:space="preserve">Pearson r / Sig. / N</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 / - / 2344</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0.319** / &lt; 0.001 / 2344</w:t>
            </w:r>
          </w:p>
        </w:tc>
      </w:tr>
      <w:tr>
        <w:trPr>
          <w:cantSplit/>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David" w:cs="David" w:eastAsia="David" w:hAnsi="David"/>
                <w:b w:val="false"/>
                <w:bCs w:val="false"/>
                <w:sz w:val="22"/>
                <w:szCs w:val="22"/>
                <w:rtl/>
              </w:rPr>
              <w:t xml:space="preserve">רווחה נפשית: </w:t>
            </w:r>
            <w:r>
              <w:rPr>
                <w:rFonts w:ascii="Times New Roman" w:cs="Times New Roman" w:eastAsia="Times New Roman" w:hAnsi="Times New Roman"/>
                <w:b w:val="false"/>
                <w:bCs w:val="false"/>
                <w:sz w:val="22"/>
                <w:szCs w:val="22"/>
              </w:rPr>
              <w:t xml:space="preserve">Pearson r / Sig. / N</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0.319** / &lt; 0.001 / 2344</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 / - / 2379</w:t>
            </w:r>
          </w:p>
        </w:tc>
      </w:tr>
      <w:tr>
        <w:trPr>
          <w:cantSplit/>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Spearman rho (legitimacy, wellbeing)</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0.340** / &lt; 0.001 / 2344</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r>
      <w:tr>
        <w:trPr>
          <w:cantSplit/>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Spearman rho (wellbeing with item 1 / 2 / 3)</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0.290 / 0.248 / 0.248</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all p &lt; 0.001</w:t>
            </w:r>
          </w:p>
        </w:tc>
      </w:tr>
    </w:tbl>
    <w:p>
      <w:pPr>
        <w:bidi/>
        <w:spacing w:after="200" w:before="60" w:line="276"/>
        <w:jc w:val="right"/>
      </w:pPr>
      <w:r>
        <w:rPr>
          <w:rFonts w:ascii="Times New Roman" w:cs="Times New Roman" w:eastAsia="Times New Roman" w:hAnsi="Times New Roman"/>
          <w:sz w:val="20"/>
          <w:szCs w:val="20"/>
        </w:rPr>
        <w:t xml:space="preserve">**. Correlation is significant at the 0.01 level (2-tailed).</w:t>
      </w:r>
    </w:p>
    <w:p>
      <w:pPr>
        <w:keepNext/>
        <w:bidi/>
        <w:spacing w:after="80" w:before="200" w:line="360"/>
        <w:jc w:val="right"/>
      </w:pPr>
      <w:r>
        <w:rPr>
          <w:rFonts w:ascii="David" w:cs="David" w:eastAsia="David" w:hAnsi="David"/>
          <w:b/>
          <w:bCs/>
          <w:sz w:val="24"/>
          <w:szCs w:val="24"/>
          <w:rtl/>
        </w:rPr>
        <w:t xml:space="preserve">א</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Regression, Dependent: legitimacy (Method: Enter, 3 blocks)</w:t>
      </w:r>
    </w:p>
    <w:tbl>
      <w:tblPr>
        <w:bidiVisual/>
        <w:tblW w:type="dxa" w:w="8300"/>
        <w:tblBorders>
          <w:top w:val="single" w:color="000000" w:sz="4"/>
          <w:left w:val="none" w:color="FFFFFF" w:sz="0"/>
          <w:bottom w:val="single" w:color="000000" w:sz="4"/>
          <w:right w:val="none" w:color="FFFFFF" w:sz="0"/>
          <w:insideH w:val="none" w:color="FFFFFF" w:sz="0"/>
          <w:insideV w:val="none" w:color="FFFFFF" w:sz="0"/>
        </w:tblBorders>
      </w:tblPr>
      <w:tblGrid>
        <w:gridCol w:w="2600"/>
        <w:gridCol w:w="900"/>
        <w:gridCol w:w="900"/>
        <w:gridCol w:w="1000"/>
        <w:gridCol w:w="900"/>
        <w:gridCol w:w="1100"/>
        <w:gridCol w:w="900"/>
      </w:tblGrid>
      <w:tr>
        <w:trPr>
          <w:cantSplit/>
          <w:tblHeader/>
        </w:trPr>
        <w:tc>
          <w:tcPr>
            <w:tcW w:type="dxa" w:w="2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Model</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R</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R²</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Adj. R²</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F</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df</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Sig.</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 wellbeing</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0.319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0.102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0.102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266.0</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1, 2342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 + GIL_REC, yehudi</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0.335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0.112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0.111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98.4</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3, 2340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 + knissot_n, vetek_bin</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0.338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0.114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0.112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60.4</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5, 2338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r>
    </w:tbl>
    <w:tbl>
      <w:tblPr>
        <w:bidiVisual/>
        <w:tblW w:type="dxa" w:w="8300"/>
        <w:tblBorders>
          <w:top w:val="single" w:color="000000" w:sz="4"/>
          <w:left w:val="none" w:color="FFFFFF" w:sz="0"/>
          <w:bottom w:val="single" w:color="000000" w:sz="4"/>
          <w:right w:val="none" w:color="FFFFFF" w:sz="0"/>
          <w:insideH w:val="none" w:color="FFFFFF" w:sz="0"/>
          <w:insideV w:val="none" w:color="FFFFFF" w:sz="0"/>
        </w:tblBorders>
      </w:tblPr>
      <w:tblGrid>
        <w:gridCol w:w="2000"/>
        <w:gridCol w:w="900"/>
        <w:gridCol w:w="900"/>
        <w:gridCol w:w="900"/>
        <w:gridCol w:w="900"/>
        <w:gridCol w:w="1000"/>
        <w:gridCol w:w="1700"/>
      </w:tblGrid>
      <w:tr>
        <w:trPr>
          <w:cantSplit/>
          <w:tblHeader/>
        </w:trPr>
        <w:tc>
          <w:tcPr>
            <w:tcW w:type="dxa" w:w="2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Model 3 coefficients</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B</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SE</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Beta</w:t>
            </w:r>
          </w:p>
        </w:tc>
        <w:tc>
          <w:tcPr>
            <w:tcW w:type="dxa" w:w="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t</w:t>
            </w:r>
          </w:p>
        </w:tc>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Sig.</w:t>
            </w:r>
          </w:p>
        </w:tc>
        <w:tc>
          <w:tcPr>
            <w:tcW w:type="dxa" w:w="1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95% CI</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(Constant)</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2.919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0.107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27.26</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2.709, 3.129</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wellbeing</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0.314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0.019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0.330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16.85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0.277, 0.350</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GIL_REC</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0.106</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5.27</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&lt; 0.001</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0.005, 0.010</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yehudi</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0.033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-0.002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0.912</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-0.068, 0.061</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knissot_n</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0.019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-1.04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0.297</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-0.056, 0.017</w:t>
            </w:r>
          </w:p>
        </w:tc>
      </w:tr>
      <w:tr>
        <w:trPr>
          <w:cantSplit/>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vetek_bin</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-0.118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0.052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-0.045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-2.28</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0.023</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-0.219, -0.016</w:t>
            </w:r>
          </w:p>
        </w:tc>
      </w:tr>
    </w:tbl>
    <w:p>
      <w:pPr>
        <w:keepNext/>
        <w:bidi/>
        <w:spacing w:after="80" w:before="200" w:line="360"/>
        <w:jc w:val="right"/>
      </w:pPr>
      <w:r>
        <w:rPr>
          <w:rFonts w:ascii="David" w:cs="David" w:eastAsia="David" w:hAnsi="David"/>
          <w:b/>
          <w:bCs/>
          <w:sz w:val="24"/>
          <w:szCs w:val="24"/>
          <w:rtl/>
        </w:rPr>
        <w:t xml:space="preserve">א</w:t>
      </w:r>
      <w:r>
        <w:rPr>
          <w:rFonts w:ascii="Times New Roman" w:cs="Times New Roman" w:eastAsia="Times New Roman" w:hAnsi="Times New Roman"/>
          <w:b/>
          <w:bCs/>
          <w:sz w:val="24"/>
          <w:szCs w:val="24"/>
        </w:rPr>
        <w:t xml:space="preserve">-8</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Oneway, legitimacy</w:t>
      </w:r>
      <w:r>
        <w:rPr>
          <w:rFonts w:ascii="David" w:cs="David" w:eastAsia="David" w:hAnsi="David"/>
          <w:b/>
          <w:bCs/>
          <w:sz w:val="24"/>
          <w:szCs w:val="24"/>
          <w:rtl/>
        </w:rPr>
        <w:t xml:space="preserve"> ו-</w:t>
      </w:r>
      <w:r>
        <w:rPr>
          <w:rFonts w:ascii="Times New Roman" w:cs="Times New Roman" w:eastAsia="Times New Roman" w:hAnsi="Times New Roman"/>
          <w:b/>
          <w:bCs/>
          <w:sz w:val="24"/>
          <w:szCs w:val="24"/>
        </w:rPr>
        <w:t xml:space="preserve">wellbeing BY vetek4; T-Test BY time</w:t>
      </w:r>
      <w:r>
        <w:rPr>
          <w:rFonts w:ascii="David" w:cs="David" w:eastAsia="David" w:hAnsi="David"/>
          <w:b/>
          <w:bCs/>
          <w:sz w:val="24"/>
          <w:szCs w:val="24"/>
          <w:rtl/>
        </w:rPr>
        <w:t xml:space="preserve">_</w:t>
      </w:r>
      <w:r>
        <w:rPr>
          <w:rFonts w:ascii="Times New Roman" w:cs="Times New Roman" w:eastAsia="Times New Roman" w:hAnsi="Times New Roman"/>
          <w:b/>
          <w:bCs/>
          <w:sz w:val="24"/>
          <w:szCs w:val="24"/>
        </w:rPr>
        <w:t xml:space="preserve">in</w:t>
      </w:r>
      <w:r>
        <w:rPr>
          <w:rFonts w:ascii="David" w:cs="David" w:eastAsia="David" w:hAnsi="David"/>
          <w:b/>
          <w:bCs/>
          <w:sz w:val="24"/>
          <w:szCs w:val="24"/>
          <w:rtl/>
        </w:rPr>
        <w:t xml:space="preserve">_</w:t>
      </w:r>
      <w:r>
        <w:rPr>
          <w:rFonts w:ascii="Times New Roman" w:cs="Times New Roman" w:eastAsia="Times New Roman" w:hAnsi="Times New Roman"/>
          <w:b/>
          <w:bCs/>
          <w:sz w:val="24"/>
          <w:szCs w:val="24"/>
        </w:rPr>
        <w:t xml:space="preserve">agaf</w:t>
      </w:r>
    </w:p>
    <w:tbl>
      <w:tblPr>
        <w:bidiVisual/>
        <w:tblW w:type="dxa" w:w="7400"/>
        <w:tblBorders>
          <w:top w:val="single" w:color="000000" w:sz="4"/>
          <w:left w:val="none" w:color="FFFFFF" w:sz="0"/>
          <w:bottom w:val="single" w:color="000000" w:sz="4"/>
          <w:right w:val="none" w:color="FFFFFF" w:sz="0"/>
          <w:insideH w:val="none" w:color="FFFFFF" w:sz="0"/>
          <w:insideV w:val="none" w:color="FFFFFF" w:sz="0"/>
        </w:tblBorders>
      </w:tblPr>
      <w:tblGrid>
        <w:gridCol w:w="3200"/>
        <w:gridCol w:w="1600"/>
        <w:gridCol w:w="1400"/>
        <w:gridCol w:w="1200"/>
      </w:tblGrid>
      <w:tr>
        <w:trPr>
          <w:cantSplit/>
          <w:tblHeader/>
        </w:trPr>
        <w:tc>
          <w:tcPr>
            <w:tcW w:type="dxa" w:w="3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Test</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Statistic</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df</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bCs/>
                <w:sz w:val="22"/>
                <w:szCs w:val="22"/>
              </w:rPr>
              <w:t xml:space="preserve">Sig.</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ANOVA legitimacy by vetek4</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F = 3.20</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3, 2340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0.022</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ANOVA wellbeing by vetek4</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F = 0.54</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3, 2375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0.657</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Levene legitimacy (time_in_agaf)</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F = 2.73</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1, 2342</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0.098</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t-test legitimacy (1 vs 2)</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t = 1.97</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336</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0.050</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t-test wellbeing (1 vs 2)</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t = 0.74</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350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0.462</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Spearman legitimacy with vetek4</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rs = -0.003</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0.899</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Spearman wellbeing with vetek4</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rs = -0.028</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Times New Roman" w:cs="Times New Roman" w:eastAsia="Times New Roman" w:hAnsi="Times New Roman"/>
                <w:b w:val="false"/>
                <w:bCs w:val="false"/>
                <w:sz w:val="22"/>
                <w:szCs w:val="22"/>
              </w:rPr>
              <w:t xml:space="preserve">0.169</w:t>
            </w:r>
          </w:p>
        </w:tc>
      </w:tr>
    </w:tbl>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b/>
      <w:bCs/>
      <w:sz w:val="32"/>
      <w:szCs w:val="32"/>
      <w:rtl/>
    </w:rPr>
  </w:style>
  <w:style w:type="paragraph" w:styleId="Heading2">
    <w:name w:val="Heading 2"/>
    <w:basedOn w:val="Normal"/>
    <w:next w:val="Normal"/>
    <w:qFormat/>
    <w:pPr>
      <w:outlineLvl w:val="1"/>
    </w:pPr>
    <w:rPr>
      <w:rFonts w:ascii="David" w:cs="David" w:eastAsia="David" w:hAnsi="David"/>
      <w:b/>
      <w:bCs/>
      <w:sz w:val="28"/>
      <w:szCs w:val="28"/>
      <w:rtl/>
    </w:rPr>
  </w:style>
  <w:style w:type="paragraph" w:styleId="Heading3">
    <w:name w:val="Heading 3"/>
    <w:basedOn w:val="Normal"/>
    <w:next w:val="Normal"/>
    <w:qFormat/>
    <w:pPr>
      <w:outlineLvl w:val="2"/>
    </w:pPr>
    <w:rPr>
      <w:rFonts w:ascii="David" w:cs="David" w:eastAsia="David" w:hAnsi="David"/>
      <w:b/>
      <w:bCs/>
      <w:sz w:val="24"/>
      <w:szCs w:val="24"/>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רווחה נפשית, ותק באגף ותפיסת הלגיטימיות של סגל הכליאה בקרב אסירים שפוטים בישראל</dc:title>
  <cp:lastModifiedBy>Un-named</cp:lastModifiedBy>
  <cp:revision>1</cp:revision>
  <dcterms:created xsi:type="dcterms:W3CDTF">2026-09-09T12:41:05.767Z</dcterms:created>
  <dcterms:modified xsi:type="dcterms:W3CDTF">2026-09-09T12:41:05.777Z</dcterms:modified>
</cp:coreProperties>
</file>

<file path=docProps/custom.xml><?xml version="1.0" encoding="utf-8"?>
<Properties xmlns="http://schemas.openxmlformats.org/officeDocument/2006/custom-properties" xmlns:vt="http://schemas.openxmlformats.org/officeDocument/2006/docPropsVTypes"/>
</file>