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עדות אמפירית עדכנית לעומק התופעה מצויה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7"/>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18"/>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19"/>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0"/>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1"/>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2"/>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3"/>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4"/>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5"/>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6"/>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7"/>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28"/>
      </w:r>
      <w:r>
        <w:rPr>
          <w:rFonts w:ascii="David" w:cs="David" w:eastAsia="David" w:hAnsi="David"/>
          <w:sz w:val="24"/>
          <w:szCs w:val="24"/>
          <w:rtl/>
        </w:rPr>
        <w:t xml:space="preserve"> שנית, כותרת "בלתי חוזר" אינה מילת קסם.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29"/>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w:t>
      </w:r>
      <w:r>
        <w:rPr>
          <w:rStyle w:val="FootnoteReference"/>
        </w:rPr>
        <w:footnoteReference w:id="30"/>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1"/>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2"/>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3"/>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34"/>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35"/>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w:t>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36"/>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37"/>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38"/>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39"/>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40"/>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41"/>
      </w:r>
    </w:p>
    <w:p>
      <w:pPr>
        <w:pStyle w:val="Heading2"/>
        <w:bidi/>
        <w:spacing w:after="180" w:before="280"/>
      </w:pPr>
      <w:r>
        <w:rPr>
          <w:rFonts w:ascii="David" w:cs="David" w:eastAsia="David" w:hAnsi="David"/>
          <w:b/>
          <w:bCs/>
          <w:color w:val="000000"/>
          <w:sz w:val="28"/>
          <w:szCs w:val="28"/>
          <w:rtl/>
        </w:rPr>
        <w:t xml:space="preserve">ג.7 בתי המשפט לענייני משפחה: המלאכה הלכה למעשה</w:t>
      </w:r>
    </w:p>
    <w:p>
      <w:pPr>
        <w:bidi/>
        <w:spacing w:after="160" w:line="360"/>
        <w:ind w:firstLine="420"/>
        <w:jc w:val="both"/>
      </w:pPr>
      <w:r>
        <w:rPr>
          <w:rFonts w:ascii="David" w:cs="David" w:eastAsia="David" w:hAnsi="David"/>
          <w:sz w:val="24"/>
          <w:szCs w:val="24"/>
          <w:rtl/>
        </w:rPr>
        <w:t xml:space="preserve">בערכאות המשפחה בצפון הארץ נפגשים כל הכלים הללו במקרים חיים. הכרעות בתי המשפט לענייני משפחה בנצרת מדגימות את המלאכה: שחזור עסקאות בנות עשרות שנים מתוך צירוף של ייפוי כוח ותיק, עדויות זקני המשפחה, וראיות שימוש והחזקה מתמשכות – תוך יישום דרישת הסיוע בתביעות נגד עיזבון וזהירות ראייתית מוקפדת.</w:t>
      </w:r>
      <w:r>
        <w:rPr>
          <w:rStyle w:val="FootnoteReference"/>
        </w:rPr>
        <w:footnoteReference w:id="42"/>
      </w:r>
      <w:r>
        <w:rPr>
          <w:rFonts w:ascii="David" w:cs="David" w:eastAsia="David" w:hAnsi="David"/>
          <w:sz w:val="24"/>
          <w:szCs w:val="24"/>
          <w:rtl/>
        </w:rPr>
        <w:t xml:space="preserve"> למשקלם המדויק של היתרי הבנייה, הארנונה והמסמכים ההיסטוריים – חומר הגלם הראייתי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43"/>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44"/>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45"/>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46"/>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47"/>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48"/>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49"/>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50"/>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51"/>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52"/>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53"/>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54"/>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55"/>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56"/>
      </w:r>
      <w:r>
        <w:rPr>
          <w:rFonts w:ascii="David" w:cs="David" w:eastAsia="David" w:hAnsi="David"/>
          <w:sz w:val="24"/>
          <w:szCs w:val="24"/>
          <w:rtl/>
        </w:rPr>
        <w:t xml:space="preserve"> התוצאה המבנית מרתקת: דווקא מפני שהמס "רואה" את העסקה ואת ההחזקה הבלתי רשומות, נוצר פער בין שני מרשמים – מרשם הזכויות, שבו העסקה אינה קיימת, ומרשם המס, שבו היא הייתה אמורה להיות מדווחת זה מכבר. פער זה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57"/>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58"/>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59"/>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60"/>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61"/>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6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63"/>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64"/>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65"/>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66"/>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67"/>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68"/>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69"/>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70"/>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71"/>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7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73"/>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74"/>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75"/>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76"/>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77"/>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78"/>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79"/>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80"/>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81"/>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82"/>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83"/>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84"/>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85"/>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86"/>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87"/>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88"/>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89"/>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90"/>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91"/>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92"/>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93"/>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94"/>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95"/>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96"/>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97"/>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98"/>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99"/>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00"/>
      </w:r>
    </w:p>
    <w:p>
      <w:pPr>
        <w:pStyle w:val="Heading1"/>
        <w:bidi/>
        <w:spacing w:after="240" w:before="360"/>
      </w:pPr>
      <w:r>
        <w:rPr>
          <w:rFonts w:ascii="David" w:cs="David" w:eastAsia="David" w:hAnsi="David"/>
          <w:b/>
          <w:bCs/>
          <w:color w:val="000000"/>
          <w:sz w:val="32"/>
          <w:szCs w:val="32"/>
          <w:rtl/>
        </w:rPr>
        <w:t xml:space="preserve">פרק ז: דיון</w:t>
      </w:r>
    </w:p>
    <w:p>
      <w:pPr>
        <w:pStyle w:val="Heading2"/>
        <w:bidi/>
        <w:spacing w:after="180" w:before="280"/>
      </w:pPr>
      <w:r>
        <w:rPr>
          <w:rFonts w:ascii="David" w:cs="David" w:eastAsia="David" w:hAnsi="David"/>
          <w:b/>
          <w:bCs/>
          <w:color w:val="000000"/>
          <w:sz w:val="28"/>
          <w:szCs w:val="28"/>
          <w:rtl/>
        </w:rPr>
        <w:t xml:space="preserve">ז.1 חיבור הממצאים: שלוש השאלות ותשובה אחת</w:t>
      </w:r>
    </w:p>
    <w:p>
      <w:pPr>
        <w:bidi/>
        <w:spacing w:after="160" w:line="360"/>
        <w:ind w:firstLine="420"/>
        <w:jc w:val="both"/>
      </w:pPr>
      <w:r>
        <w:rPr>
          <w:rFonts w:ascii="David" w:cs="David" w:eastAsia="David" w:hAnsi="David"/>
          <w:sz w:val="24"/>
          <w:szCs w:val="24"/>
          <w:rtl/>
        </w:rPr>
        <w:t xml:space="preserve">שלוש שאלות המחקר, שנבחנו כל אחת בפרקה, מתבררות בדיעבד כשלושה פנים של תופעה אחת. הכלים המשפטיים והראייתיים (שאלה א; פרקים ג–ד) הם התגובה השיפוטית לחלל שיצר "מסך המרשם" (פרק א) בהיפגשו עם דפוסי הקניין של החברה הערבית (פרק ב); המשקל המוגבל־אך־ממשי של היתרי הבנייה והארנונה (שאלה ג; פרק ד) הוא תוצר של אותו חלל – בהיעדר תיעוד קנייני, התיעוד המנהלי הוא שנותר; ו"התניית הרישום" במס (שאלה ב; פרק ה) היא המנוע המבני המשמר את החלל ומזין את שתי התופעות האחרות. אין מדובר אפוא בשלוש בעיות נפרדות אלא במעגל אחד: חסם כניסה למרשם ← אי־רישום נמשך ← הסתמכות על תחליפים פרטיים ומנהליים ← סכסוך בין־דורי ← הכרעה שיפוטית בדיעבד ← פסק דין שאינו ניתן לרישום בשל החסם – וחוזר חלילה.</w:t>
      </w:r>
    </w:p>
    <w:p>
      <w:pPr>
        <w:bidi/>
        <w:spacing w:after="160" w:line="360"/>
        <w:ind w:firstLine="420"/>
        <w:jc w:val="both"/>
      </w:pPr>
      <w:r>
        <w:rPr>
          <w:rFonts w:ascii="David" w:cs="David" w:eastAsia="David" w:hAnsi="David"/>
          <w:sz w:val="24"/>
          <w:szCs w:val="24"/>
          <w:rtl/>
        </w:rPr>
        <w:t xml:space="preserve">ההשוואה (פרק ו) מיקמה את המעגל הזה בהקשר: הוא איננו ייחודי לישראל. מצרים נקלעה למעגל זהה בממדים לאומיים; אנגליה נמנעה ממנו בזכות מרשם זול ונגיש ודיני יושר מפותחים; והמשפט השרעי, שקדם למרשם, כלל לא הכיר בו כתנאי להקניה. הייחוד הישראלי הוא בכך שהמעגל פוגע באוכלוסייה מובחנת – החברה הערבית – בעוד שהדין הכללי מתפקד היטב עבור השוק המסחרי; כשל שהוא, במונחי פרק א, חלוקתי במהותו.</w:t>
      </w:r>
    </w:p>
    <w:p>
      <w:pPr>
        <w:pStyle w:val="Heading2"/>
        <w:bidi/>
        <w:spacing w:after="180" w:before="280"/>
      </w:pPr>
      <w:r>
        <w:rPr>
          <w:rFonts w:ascii="David" w:cs="David" w:eastAsia="David" w:hAnsi="David"/>
          <w:b/>
          <w:bCs/>
          <w:color w:val="000000"/>
          <w:sz w:val="28"/>
          <w:szCs w:val="28"/>
          <w:rtl/>
        </w:rPr>
        <w:t xml:space="preserve">ז.2 הערכה ביקורתית: גמישות שיפוטית כתחליף למדיניות</w:t>
      </w:r>
    </w:p>
    <w:p>
      <w:pPr>
        <w:bidi/>
        <w:spacing w:after="160" w:line="360"/>
        <w:ind w:firstLine="420"/>
        <w:jc w:val="both"/>
      </w:pPr>
      <w:r>
        <w:rPr>
          <w:rFonts w:ascii="David" w:cs="David" w:eastAsia="David" w:hAnsi="David"/>
          <w:sz w:val="24"/>
          <w:szCs w:val="24"/>
          <w:rtl/>
        </w:rPr>
        <w:t xml:space="preserve">האם ארגז הכלים הפסיקתי הוא הצלחה? התשובה כפולה. במישור המקרה הבודד – הצלחה מרשימה: הפסיקה מנעה אינספור תוצאות בלתי צודקות, מהכרה בזכות שביושר של רוכשת בת חמישים שנה בעניין </w:t>
      </w:r>
      <w:r>
        <w:rPr>
          <w:rFonts w:ascii="David" w:cs="David" w:eastAsia="David" w:hAnsi="David"/>
          <w:i/>
          <w:iCs/>
          <w:sz w:val="24"/>
          <w:szCs w:val="24"/>
          <w:rtl/>
        </w:rPr>
        <w:t xml:space="preserve">צימבלר</w:t>
      </w:r>
      <w:r>
        <w:rPr>
          <w:rStyle w:val="FootnoteReference"/>
        </w:rPr>
        <w:footnoteReference w:id="101"/>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02"/>
      </w:r>
      <w:r>
        <w:rPr>
          <w:rFonts w:ascii="David" w:cs="David" w:eastAsia="David" w:hAnsi="David"/>
          <w:sz w:val="24"/>
          <w:szCs w:val="24"/>
          <w:rtl/>
        </w:rPr>
        <w:t xml:space="preserve"> במישור המערכתי – כישלון עקרוני, משלושה טעמים. ראשית, אי־ודאות: משטר הנשען על "זעקת ההגינות", על מבחני הסתמכות ועל שיקול דעת רחב מייצר תוצאות בלתי צפויות, המשתנות מתיק לתיק ומרתיעות הסדרה מוקדמת – שהרי מי שסבור כי יזכה בדין אינו ממהר להתפשר, ומי שאינו יודע את מעמדו אינו יכול לתמחר אותו. שנית, תלות באשם: הכלים הפסיקתיים מכוונים כולם להתנהגות – מי הסתמך, מי התכחש, מי נהג בחוסר תום לב – ולכן הם רגישים לנרטיב המשפחתי ולעיצובו בדיעבד, במקום להיאחז בעובדות מבניות הניתנות להוכחה. שלישית, וחשוב מכל: הכלים אינם מייצרים רישום. גם הזוכה המושלם נותר מחוץ לטאבו, ופסק דינו – נכס נוסף במשפחה שאינו רשום.</w:t>
      </w:r>
    </w:p>
    <w:p>
      <w:pPr>
        <w:bidi/>
        <w:spacing w:after="160" w:line="360"/>
        <w:ind w:firstLine="420"/>
        <w:jc w:val="both"/>
      </w:pPr>
      <w:r>
        <w:rPr>
          <w:rFonts w:ascii="David" w:cs="David" w:eastAsia="David" w:hAnsi="David"/>
          <w:sz w:val="24"/>
          <w:szCs w:val="24"/>
          <w:rtl/>
        </w:rPr>
        <w:t xml:space="preserve">על רקע זה מתחדד לקח המשפט המשווה. הדין האנגלי מלמד כי אפשר לתת לגמישות השיפוטית מסגרת דוקטרינרית יציבה: ההשתק הקנייני איננו "זעקה" חסרת גבולות אלא עילה סדורה – הבטחה, הסתמכות, שינוי מצב לרעה, אי־מצפוניות – שסעדיה נדונים אף הם במסגרת שנקבעה בפסיקה עליונה עקבית.</w:t>
      </w:r>
      <w:r>
        <w:rPr>
          <w:rStyle w:val="FootnoteReference"/>
        </w:rPr>
        <w:footnoteReference w:id="103"/>
      </w:r>
      <w:r>
        <w:rPr>
          <w:rFonts w:ascii="David" w:cs="David" w:eastAsia="David" w:hAnsi="David"/>
          <w:sz w:val="24"/>
          <w:szCs w:val="24"/>
          <w:rtl/>
        </w:rPr>
        <w:t xml:space="preserve"> הדין המצרי מלמד את ההפך: היכן שהמחוקק אינו מתקן את החסם המבני, אף מערכת תחליפים משוכללת (תַוְכּיל, תביעות אימות) אינה בולמת את קריסת המרשם. והמשפט השרעי מלמד כי שיטה יכולה להשתית יציבות קניינית על עובדה חברתית גלויה – התפיסה – ולא על פנקס; לקח שאין לאמצו כלשונו, אך יש בו כדי להצדיק מתן משקל ראייתי ומהותי גדול יותר להחזקה ארוכת שנים שאין חולק עליה.</w:t>
      </w:r>
    </w:p>
    <w:p>
      <w:pPr>
        <w:pStyle w:val="Heading2"/>
        <w:bidi/>
        <w:spacing w:after="180" w:before="280"/>
      </w:pPr>
      <w:r>
        <w:rPr>
          <w:rFonts w:ascii="David" w:cs="David" w:eastAsia="David" w:hAnsi="David"/>
          <w:b/>
          <w:bCs/>
          <w:color w:val="000000"/>
          <w:sz w:val="28"/>
          <w:szCs w:val="28"/>
          <w:rtl/>
        </w:rPr>
        <w:t xml:space="preserve">ז.3 כיווני תיקון</w:t>
      </w:r>
    </w:p>
    <w:p>
      <w:pPr>
        <w:bidi/>
        <w:spacing w:after="160" w:line="360"/>
        <w:ind w:firstLine="420"/>
        <w:jc w:val="both"/>
      </w:pPr>
      <w:r>
        <w:rPr>
          <w:rFonts w:ascii="David" w:cs="David" w:eastAsia="David" w:hAnsi="David"/>
          <w:b/>
          <w:bCs/>
          <w:sz w:val="24"/>
          <w:szCs w:val="24"/>
          <w:rtl/>
        </w:rPr>
        <w:t xml:space="preserve">במישור החקיקתי־פיסקלי: </w:t>
      </w:r>
      <w:r>
        <w:rPr>
          <w:rFonts w:ascii="David" w:cs="David" w:eastAsia="David" w:hAnsi="David"/>
          <w:sz w:val="24"/>
          <w:szCs w:val="24"/>
          <w:rtl/>
        </w:rPr>
        <w:t xml:space="preserve">הניסיון המצרי – שבו ניתוק הרישום מתשלום מס העסקה וקיצוץ האגרות היו לב הרפורמה של 2022 – מצביע על הכיוון: הוראת שעה להסדרת עסקאות פנים־משפחתיות היסטוריות, שתכלול תקרת חבות, ויתור על קנסות וריבית (להבדיל מן הקרן), ומסלול שומה מקוצר לעסקאות שמסמכיהן אבדו. עלות הוויתור הפיסקלי נמוכה ממה שנדמה: המס ההיסטורי ממילא אינו נגבה בפועל, שכן העסקאות אינן מדווחות; ואילו התועלת – הכנסת דור שלם של נכסים למרשם ולבסיס המס העתידי – ניכרת.</w:t>
      </w:r>
      <w:r>
        <w:rPr>
          <w:rStyle w:val="FootnoteReference"/>
        </w:rPr>
        <w:footnoteReference w:id="104"/>
      </w:r>
    </w:p>
    <w:p>
      <w:pPr>
        <w:bidi/>
        <w:spacing w:after="160" w:line="360"/>
        <w:ind w:firstLine="420"/>
        <w:jc w:val="both"/>
      </w:pPr>
      <w:r>
        <w:rPr>
          <w:rFonts w:ascii="David" w:cs="David" w:eastAsia="David" w:hAnsi="David"/>
          <w:b/>
          <w:bCs/>
          <w:sz w:val="24"/>
          <w:szCs w:val="24"/>
          <w:rtl/>
        </w:rPr>
        <w:t xml:space="preserve">במישור המוסדי: </w:t>
      </w:r>
      <w:r>
        <w:rPr>
          <w:rFonts w:ascii="David" w:cs="David" w:eastAsia="David" w:hAnsi="David"/>
          <w:sz w:val="24"/>
          <w:szCs w:val="24"/>
          <w:rtl/>
        </w:rPr>
        <w:t xml:space="preserve">השלמת הליכי הסדר הזכויות ביישובים הערביים שבהם לא הושלמו, הפעם בשיתוף הקהילות ובהכרה מפורשת בראיות ההחזקה והתיעוד המסורתיות – ולא בהתעלמות מהן, שהניסיון ההיסטורי מלמד כי היא שמנעה השתתפות מלכתחילה. במקביל, ראוי לשקול מסלול "רישום ראשון מוסכם" לחלוקות משפחתיות שאין עליהן מחלוקת פנימית, שיאפשר קיבוע הסכמות בעודן חיות – בטרם ייהפכו, בדור הבא, לסכסוך.</w:t>
      </w:r>
      <w:r>
        <w:rPr>
          <w:rStyle w:val="FootnoteReference"/>
        </w:rPr>
        <w:footnoteReference w:id="105"/>
      </w:r>
    </w:p>
    <w:p>
      <w:pPr>
        <w:bidi/>
        <w:spacing w:after="160" w:line="360"/>
        <w:ind w:firstLine="420"/>
        <w:jc w:val="both"/>
      </w:pPr>
      <w:r>
        <w:rPr>
          <w:rFonts w:ascii="David" w:cs="David" w:eastAsia="David" w:hAnsi="David"/>
          <w:b/>
          <w:bCs/>
          <w:sz w:val="24"/>
          <w:szCs w:val="24"/>
          <w:rtl/>
        </w:rPr>
        <w:t xml:space="preserve">במישור השיפוטי: </w:t>
      </w:r>
      <w:r>
        <w:rPr>
          <w:rFonts w:ascii="David" w:cs="David" w:eastAsia="David" w:hAnsi="David"/>
          <w:sz w:val="24"/>
          <w:szCs w:val="24"/>
          <w:rtl/>
        </w:rPr>
        <w:t xml:space="preserve">עיגון גלוי של המדרג הראייתי שהותווה בפרק ד, והכרה מפורשת בכך שבסכסוכים אלה היעדר מסמכים ואי־דיווח היסטורי הם נורמה תרבותית ואינם אינדיקציה לחוסר אמינות. כן ראוי לשקול, ברוח הדין האנגלי, המשגה סדורה של "השתק קנייני ישראלי": מסגרת בת ארבעה יסודות – הבטחה או הסכמה משפחתית, הסתמכות, שינוי מצב, ואי־צדק בהתכחשות – שתחליף את הפנייה הבלתי ממושמעת ל"זעקת ההגינות" ותאפשר ביקורת ערעורית אפקטיבית. לבסוף, בתי המשפט לענייני משפחה – שערכאתם היא הזירה המרכזית של סכסוכים אלה – ראויים לכלים מנהליים משלימים: סמכות מפורשת להורות, אגב פסק הדין, על השלמת הרישום בכפוף להסדרת מס במתווה שייקבע, כדי שפסק הדין לא יישאר אף הוא "זכות שאינה רשומה".</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19">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0">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1">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2">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3">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4">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26">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7">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28">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(מהדורה שנייה, 1996).</w:t>
      </w:r>
    </w:p>
  </w:footnote>
  <w:footnote w:id="29">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w:t>
      </w:r>
    </w:p>
  </w:footnote>
  <w:footnote w:id="31">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2">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3">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344 ואילך.</w:t>
      </w:r>
    </w:p>
  </w:footnote>
  <w:footnote w:id="34">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35">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36">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37">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38">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39">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40">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41">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40</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37</w:t>
      </w:r>
      <w:r>
        <w:rPr>
          <w:rFonts w:ascii="David" w:cs="David" w:eastAsia="David" w:hAnsi="David"/>
          <w:sz w:val="20"/>
          <w:szCs w:val="20"/>
          <w:rtl/>
        </w:rPr>
        <w:t xml:space="preserve">, לעניין היחס בין רישיון לחזקה.</w:t>
      </w:r>
    </w:p>
  </w:footnote>
  <w:footnote w:id="42">
    <w:p>
      <w:pPr>
        <w:bidi/>
        <w:spacing w:after="60"/>
      </w:pPr>
      <w:r>
        <w:rPr>
          <w:rStyle w:val="FootnoteReference"/>
        </w:rPr>
        <w:footnoteRef/>
      </w:r>
      <w:r>
        <w:rPr>
          <w:rFonts w:ascii="David" w:cs="David" w:eastAsia="David" w:hAnsi="David"/>
          <w:sz w:val="20"/>
          <w:szCs w:val="20"/>
          <w:rtl/>
        </w:rPr>
        <w:t xml:space="preserve">ראו למשל 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2021);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43">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31</w:t>
      </w:r>
      <w:r>
        <w:rPr>
          <w:rFonts w:ascii="David" w:cs="David" w:eastAsia="David" w:hAnsi="David"/>
          <w:sz w:val="20"/>
          <w:szCs w:val="20"/>
          <w:rtl/>
        </w:rPr>
        <w:t xml:space="preserve">.</w:t>
      </w:r>
    </w:p>
  </w:footnote>
  <w:footnote w:id="44">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45">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42</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38</w:t>
      </w:r>
      <w:r>
        <w:rPr>
          <w:rFonts w:ascii="David" w:cs="David" w:eastAsia="David" w:hAnsi="David"/>
          <w:sz w:val="20"/>
          <w:szCs w:val="20"/>
          <w:rtl/>
        </w:rPr>
        <w:t xml:space="preserve">.</w:t>
      </w:r>
    </w:p>
  </w:footnote>
  <w:footnote w:id="46">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47">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48">
    <w:p>
      <w:pPr>
        <w:bidi/>
        <w:spacing w:after="60"/>
      </w:pPr>
      <w:r>
        <w:rPr>
          <w:rStyle w:val="FootnoteReference"/>
        </w:rPr>
        <w:footnoteRef/>
      </w:r>
      <w:r>
        <w:rPr>
          <w:rFonts w:ascii="David" w:cs="David" w:eastAsia="David" w:hAnsi="David"/>
          <w:sz w:val="20"/>
          <w:szCs w:val="20"/>
          <w:rtl/>
        </w:rPr>
        <w:t xml:space="preserve">ס׳ 54(4) לפקודת הראיות [נוסח חדש], התשל"א-1971.</w:t>
      </w:r>
    </w:p>
  </w:footnote>
  <w:footnote w:id="49">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50">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51">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282.</w:t>
      </w:r>
    </w:p>
  </w:footnote>
  <w:footnote w:id="52">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53">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54">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55">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151.</w:t>
      </w:r>
    </w:p>
  </w:footnote>
  <w:footnote w:id="56">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153–154.</w:t>
      </w:r>
    </w:p>
  </w:footnote>
  <w:footnote w:id="57">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w:t>
      </w:r>
    </w:p>
  </w:footnote>
  <w:footnote w:id="58">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50</w:t>
      </w:r>
      <w:r>
        <w:rPr>
          <w:rFonts w:ascii="David" w:cs="David" w:eastAsia="David" w:hAnsi="David"/>
          <w:sz w:val="20"/>
          <w:szCs w:val="20"/>
          <w:rtl/>
        </w:rPr>
        <w:t xml:space="preserve">, בעמ׳ 282–284, והפסיקה הנסקרת שם.</w:t>
      </w:r>
    </w:p>
  </w:footnote>
  <w:footnote w:id="59">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51</w:t>
      </w:r>
      <w:r>
        <w:rPr>
          <w:rFonts w:ascii="David" w:cs="David" w:eastAsia="David" w:hAnsi="David"/>
          <w:sz w:val="20"/>
          <w:szCs w:val="20"/>
          <w:rtl/>
        </w:rPr>
        <w:t xml:space="preserve">.</w:t>
      </w:r>
    </w:p>
  </w:footnote>
  <w:footnote w:id="60">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61">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 שבו לא נזקפה ההתנהלות הבלתי פורמלית רבת-השנים לחובת הרוכשת.</w:t>
      </w:r>
    </w:p>
  </w:footnote>
  <w:footnote w:id="62">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63">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64">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65">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66">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67">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68">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69">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70">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71">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32</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72">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73">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74">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75">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76">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77">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78">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60</w:t>
      </w:r>
      <w:r>
        <w:rPr>
          <w:rFonts w:ascii="David" w:cs="David" w:eastAsia="David" w:hAnsi="David"/>
          <w:sz w:val="20"/>
          <w:szCs w:val="20"/>
          <w:rtl/>
        </w:rPr>
        <w:t xml:space="preserve">.</w:t>
      </w:r>
    </w:p>
  </w:footnote>
  <w:footnote w:id="79">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80">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81">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82">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83">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84">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75</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85">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86">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87">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88">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89">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90">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91">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92">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32</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93">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94">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95">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96">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97">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98">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99">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00">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0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29</w:t>
      </w:r>
      <w:r>
        <w:rPr>
          <w:rFonts w:ascii="David" w:cs="David" w:eastAsia="David" w:hAnsi="David"/>
          <w:sz w:val="20"/>
          <w:szCs w:val="20"/>
          <w:rtl/>
        </w:rPr>
        <w:t xml:space="preserve">.</w:t>
      </w:r>
    </w:p>
  </w:footnote>
  <w:footnote w:id="102">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103">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i w:val="false"/>
          <w:iCs w:val="false"/>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70</w:t>
      </w:r>
      <w:r>
        <w:rPr>
          <w:rFonts w:ascii="David" w:cs="David" w:eastAsia="David" w:hAnsi="David"/>
          <w:sz w:val="20"/>
          <w:szCs w:val="20"/>
          <w:rtl/>
        </w:rPr>
        <w:t xml:space="preserve">.</w:t>
      </w:r>
    </w:p>
  </w:footnote>
  <w:footnote w:id="104">
    <w:p>
      <w:pPr>
        <w:bidi/>
        <w:spacing w:after="60"/>
      </w:pPr>
      <w:r>
        <w:rPr>
          <w:rStyle w:val="FootnoteReference"/>
        </w:rPr>
        <w:footnoteRef/>
      </w:r>
      <w:r>
        <w:rPr>
          <w:rFonts w:ascii="David" w:cs="David" w:eastAsia="David" w:hAnsi="David"/>
          <w:sz w:val="20"/>
          <w:szCs w:val="20"/>
          <w:rtl/>
        </w:rPr>
        <w:t xml:space="preserve">לרפורמה המצרית ראו לעיל פרק ו.2.3.</w:t>
      </w:r>
    </w:p>
  </w:footnote>
  <w:footnote w:id="105">
    <w:p>
      <w:pPr>
        <w:bidi/>
        <w:spacing w:after="60"/>
      </w:pPr>
      <w:r>
        <w:rPr>
          <w:rStyle w:val="FootnoteReference"/>
        </w:rPr>
        <w:footnoteRef/>
      </w:r>
      <w:r>
        <w:rPr>
          <w:rFonts w:ascii="David" w:cs="David" w:eastAsia="David" w:hAnsi="David"/>
          <w:sz w:val="20"/>
          <w:szCs w:val="20"/>
          <w:rtl/>
        </w:rPr>
        <w:t xml:space="preserve">להצעות ברוח זו בהקשר הבדווי וההסדרי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2026-08-27T23:08:13.349Z</dcterms:created>
  <dcterms:modified xsi:type="dcterms:W3CDTF">2026-08-27T23:08:13.349Z</dcterms:modified>
</cp:coreProperties>
</file>

<file path=docProps/custom.xml><?xml version="1.0" encoding="utf-8"?>
<Properties xmlns="http://schemas.openxmlformats.org/officeDocument/2006/custom-properties" xmlns:vt="http://schemas.openxmlformats.org/officeDocument/2006/docPropsVTypes"/>
</file>