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pPr>
    </w:p>
    <w:p>
      <w:pPr>
        <w:spacing w:line="360" w:lineRule="auto"/>
        <w:jc w:val="center"/>
      </w:pPr>
      <w:r>
        <w:rPr>
          <w:rFonts w:ascii="Times New Roman" w:hAnsi="Times New Roman"/>
          <w:b/>
          <w:sz w:val="24"/>
        </w:rPr>
        <w:t>Learning to See a Man: Judgment, Human Dignity, and the</w:t>
        <w:br/>
        <w:t>Education of the Reader in Somerset Maugham’s “Mr. Know-All”</w:t>
      </w:r>
    </w:p>
    <w:p>
      <w:pPr>
        <w:spacing w:line="360" w:lineRule="auto"/>
      </w:pPr>
    </w:p>
    <w:p>
      <w:pPr>
        <w:spacing w:line="360" w:lineRule="auto"/>
        <w:jc w:val="center"/>
      </w:pPr>
      <w:r>
        <w:rPr>
          <w:rFonts w:ascii="Times New Roman" w:hAnsi="Times New Roman"/>
          <w:sz w:val="24"/>
        </w:rPr>
        <w:t>[Student Name]</w:t>
      </w:r>
    </w:p>
    <w:p>
      <w:pPr>
        <w:spacing w:line="360" w:lineRule="auto"/>
        <w:jc w:val="center"/>
      </w:pPr>
      <w:r>
        <w:rPr>
          <w:rFonts w:ascii="Times New Roman" w:hAnsi="Times New Roman"/>
          <w:sz w:val="24"/>
        </w:rPr>
        <w:t>[Department], [University]</w:t>
      </w:r>
    </w:p>
    <w:p>
      <w:pPr>
        <w:spacing w:line="360" w:lineRule="auto"/>
        <w:jc w:val="center"/>
      </w:pPr>
      <w:r>
        <w:rPr>
          <w:rFonts w:ascii="Times New Roman" w:hAnsi="Times New Roman"/>
          <w:sz w:val="24"/>
        </w:rPr>
        <w:t>[Course Number]: [Course Name]</w:t>
      </w:r>
    </w:p>
    <w:p>
      <w:pPr>
        <w:spacing w:line="360" w:lineRule="auto"/>
        <w:jc w:val="center"/>
      </w:pPr>
      <w:r>
        <w:rPr>
          <w:rFonts w:ascii="Times New Roman" w:hAnsi="Times New Roman"/>
          <w:sz w:val="24"/>
        </w:rPr>
        <w:t>[Instructor Name]</w:t>
      </w:r>
    </w:p>
    <w:p>
      <w:pPr>
        <w:spacing w:line="360" w:lineRule="auto"/>
        <w:jc w:val="center"/>
      </w:pPr>
      <w:r>
        <w:rPr>
          <w:rFonts w:ascii="Times New Roman" w:hAnsi="Times New Roman"/>
          <w:sz w:val="24"/>
        </w:rPr>
        <w:t>July 13, 2026</w:t>
      </w:r>
    </w:p>
    <w:p>
      <w:r>
        <w:br w:type="page"/>
      </w:r>
    </w:p>
    <w:p>
      <w:pPr>
        <w:spacing w:line="360" w:lineRule="auto"/>
        <w:jc w:val="center"/>
      </w:pPr>
      <w:r>
        <w:rPr>
          <w:rFonts w:ascii="Times New Roman" w:hAnsi="Times New Roman"/>
          <w:b/>
          <w:sz w:val="24"/>
        </w:rPr>
        <w:t>Learning to See a Man: Judgment, Human Dignity, and the Education of the Reader in Somerset Maugham’s “Mr. Know-All”</w:t>
      </w:r>
    </w:p>
    <w:p>
      <w:pPr>
        <w:spacing w:line="360" w:lineRule="auto" w:after="0"/>
        <w:ind w:firstLine="720"/>
        <w:jc w:val="both"/>
      </w:pPr>
      <w:r>
        <w:rPr>
          <w:rFonts w:ascii="Times New Roman" w:hAnsi="Times New Roman"/>
          <w:b w:val="0"/>
          <w:i w:val="0"/>
          <w:sz w:val="24"/>
        </w:rPr>
        <w:t>We decide whether we like a stranger long before we have any fair reason to. A name stitched on a suitcase, an accent, the shape of a nose, and the verdict is already in. Gordon Allport called this prejudgment, and he built his classic study around a simple, uncomfortable claim: a hostile feeling about a person usually arrives first, and the reasons for it get invented afterward to keep it company (Allport, 1954). Half a century later Daniel Kahneman described the same reflex in the vocabulary of cognitive psychology. One part of the mind is fast and automatic and loves to jump to conclusions; the other is slow, lazy, and rarely bothers to check the first one’s work (Kahneman, 2011). Somerset Maugham’s short story “Mr. Know-All” (1936) is, in a small and quiet way, about precisely this. It is about a man who judges another man on sight, learns that he was wrong, and has to live with the sting of it.</w:t>
      </w:r>
    </w:p>
    <w:p>
      <w:pPr>
        <w:spacing w:line="360" w:lineRule="auto" w:after="0"/>
        <w:ind w:firstLine="720"/>
        <w:jc w:val="both"/>
      </w:pPr>
      <w:r>
        <w:rPr>
          <w:rFonts w:ascii="Times New Roman" w:hAnsi="Times New Roman"/>
          <w:b w:val="0"/>
          <w:i w:val="0"/>
          <w:sz w:val="24"/>
        </w:rPr>
        <w:t>What makes the story worth more than a moral lesson is the way Maugham tells it. He does not stand outside his narrator and correct him for us. He puts us inside the narrator’s head and lets us share the contempt, so that when the correction comes, it is our correction too. This is the quality Martha Nussbaum values in narrative fiction. A story asks the reader to inhabit a point of view that is not their own, to feel the pull of a judgment and then feel it give way, and that rehearsal is a kind of moral training that argument alone cannot give (Nussbaum, 1995, 1997). “Mr. Know-All” runs that rehearsal in about ten pages.</w:t>
      </w:r>
    </w:p>
    <w:p>
      <w:pPr>
        <w:spacing w:line="360" w:lineRule="auto" w:after="0"/>
        <w:ind w:firstLine="720"/>
        <w:jc w:val="both"/>
      </w:pPr>
      <w:r>
        <w:rPr>
          <w:rFonts w:ascii="Times New Roman" w:hAnsi="Times New Roman"/>
          <w:b w:val="0"/>
          <w:i w:val="0"/>
          <w:sz w:val="24"/>
        </w:rPr>
        <w:t>This paper argues that “Mr. Know-All” is built as a lesson in misreading, and that its two central concerns, judgment and human dignity, are not two separate themes but two halves of a single arc: the education of a prejudiced eye. The first section examines how Maugham constructs the narrator’s judgment of Max Kelada, a verdict reached before the two men have exchanged a word and defended with details that reveal more about the narrator than about Kelada. The line the whole thing rests on is the opening one, “I was prepared to dislike Max Kelada even before I knew him.” The second section turns to the pearl scene, where Kelada surrenders the one thing he prizes, his reputation as the man who knows, to protect a woman he barely knows, and where the narrator is forced into his own quiet admission, “I was mistaken.” Read together, the two sections show a narrator who prides himself on discernment demonstrating the opposite, and then, slowly, learning to see.</w:t>
      </w:r>
    </w:p>
    <w:p>
      <w:pPr>
        <w:spacing w:line="360" w:lineRule="auto" w:before="120" w:after="0"/>
        <w:jc w:val="center"/>
      </w:pPr>
      <w:r>
        <w:rPr>
          <w:rFonts w:ascii="Times New Roman" w:hAnsi="Times New Roman"/>
          <w:b/>
          <w:sz w:val="24"/>
        </w:rPr>
        <w:t>Judgment: The Verdict Before the Evidence</w:t>
      </w:r>
    </w:p>
    <w:p>
      <w:pPr>
        <w:spacing w:line="360" w:lineRule="auto" w:after="0"/>
        <w:ind w:firstLine="720"/>
        <w:jc w:val="both"/>
      </w:pPr>
      <w:r>
        <w:rPr>
          <w:rFonts w:ascii="Times New Roman" w:hAnsi="Times New Roman"/>
          <w:b w:val="0"/>
          <w:i w:val="0"/>
          <w:sz w:val="24"/>
        </w:rPr>
        <w:t>The story announces its subject in its first sentence: “I was prepared to dislike Max Kelada even before I knew him” (Maugham, 1936). Everything about that sentence is worth pausing on. The dislike is not a reaction, it is a preparation. It is ready in advance, waiting for a target. The grammar puts the feeling before the acquaintance, which is exactly Allport’s point about prejudice: the attitude comes first and looks around for something to attach to (Allport, 1954). The narrator has not met Kelada. He has met the idea of Kelada, and he already knows how he feels about it.</w:t>
      </w:r>
    </w:p>
    <w:p>
      <w:pPr>
        <w:spacing w:line="360" w:lineRule="auto" w:after="0"/>
        <w:ind w:firstLine="720"/>
        <w:jc w:val="both"/>
      </w:pPr>
      <w:r>
        <w:rPr>
          <w:rFonts w:ascii="Times New Roman" w:hAnsi="Times New Roman"/>
          <w:b w:val="0"/>
          <w:i w:val="0"/>
          <w:sz w:val="24"/>
        </w:rPr>
        <w:t>Maugham then shows us where the idea comes from, and it is telling that none of it is Kelada himself. The narrator judges the luggage before the man. “When I went on board I found Mr. Kelada’s luggage already below,” he tells us, and the sight of the suitcases, the labels, the toilet things laid out in the shared cabin, is enough to set the verdict hardening (Maugham, 1936). He objects to the name. He objects to the ostentation of the possessions. He has assembled a full portrait of a vulgar, pushing, second-rate man out of a few objects and a surname, and he has done it, by his own admission, before their first conversation. Kahneman would recognize the machinery here: a coherent story built at speed from thin evidence, and the more coherent it feels, the less its author suspects it might be wrong (Kahneman, 2011).</w:t>
      </w:r>
    </w:p>
    <w:p>
      <w:pPr>
        <w:spacing w:line="360" w:lineRule="auto" w:after="0"/>
        <w:ind w:firstLine="720"/>
        <w:jc w:val="both"/>
      </w:pPr>
      <w:r>
        <w:rPr>
          <w:rFonts w:ascii="Times New Roman" w:hAnsi="Times New Roman"/>
          <w:b w:val="0"/>
          <w:i w:val="0"/>
          <w:sz w:val="24"/>
        </w:rPr>
        <w:t>The judgment has a sharper edge than snobbery, and this is where a close reading has to be honest about the text. The narrator keeps returning to Kelada’s body and coloring, the “large hooked nose” and the “dark skin,” and at the story’s ugliest moment he reaches for a slur, filing Kelada away as “the Levantine” (Maugham, 1936). The word does real work. It denies Kelada a name and replaces it with an origin, and it carries the whole colonial hierarchy of who counts as properly British. Kelada himself feels the pressure of that hierarchy, which is why he insists, almost too loudly, “British to the backbone, that’s what I am” (Maugham, 1936). His problem is that his passport says one thing and the narrator’s idea of an Englishman says another. The narrator’s discomfort is not really about manners. It is that Kelada’s claim to Britishness will not match the face in front of him. That is racism wearing the costume of good taste, and Maugham lets it show without ever spelling it out.</w:t>
      </w:r>
    </w:p>
    <w:p>
      <w:pPr>
        <w:spacing w:line="360" w:lineRule="auto" w:before="120" w:after="0"/>
        <w:jc w:val="left"/>
      </w:pPr>
      <w:r>
        <w:rPr>
          <w:rFonts w:ascii="Times New Roman" w:hAnsi="Times New Roman"/>
          <w:b/>
          <w:sz w:val="24"/>
        </w:rPr>
        <w:t>Point of View as a Trap</w:t>
      </w:r>
    </w:p>
    <w:p>
      <w:pPr>
        <w:spacing w:line="360" w:lineRule="auto" w:after="0"/>
        <w:ind w:firstLine="720"/>
        <w:jc w:val="both"/>
      </w:pPr>
      <w:r>
        <w:rPr>
          <w:rFonts w:ascii="Times New Roman" w:hAnsi="Times New Roman"/>
          <w:b w:val="0"/>
          <w:i w:val="0"/>
          <w:sz w:val="24"/>
        </w:rPr>
        <w:t>The reason the reader goes along with all of this is the point of view, and it is worth being precise about how it works. The story is told in the first person by a narrator who never gives his own name while freely withholding Kelada’s. We see Kelada only through the narrator’s contempt, and for the first half of the story that contempt is the only lens available. Wayne Booth’s account of narrative distance is useful here. A first-person narrator can be placed at a measured distance from the author’s own values, so that the reader is invited to trust the voice and, at the same time, to notice where it goes wrong (Booth, 1983). Maugham sets that distance carefully. The narrator sounds urbane, ironic, sure of his own good judgment, and it is that very self-assurance that should make us wary. A man this confident about a stranger he has not spoken to is not describing Kelada. He is describing himself.</w:t>
      </w:r>
    </w:p>
    <w:p>
      <w:pPr>
        <w:spacing w:line="360" w:lineRule="auto" w:after="0"/>
        <w:ind w:firstLine="720"/>
        <w:jc w:val="both"/>
      </w:pPr>
      <w:r>
        <w:rPr>
          <w:rFonts w:ascii="Times New Roman" w:hAnsi="Times New Roman"/>
          <w:b w:val="0"/>
          <w:i w:val="0"/>
          <w:sz w:val="24"/>
        </w:rPr>
        <w:t>The nickname seals the point. The whole ship calls Kelada “Mr. Know-All,” and they say it to his face (Maugham, 1936). A private prejudice has become a public consensus, a thing everyone agrees on because everyone else agrees on it. Allport described exactly this social reinforcement, the way a group’s shared contempt feels like evidence when it is only an echo (Allport, 1954). The narrator is not an outlier. He is a member of a crowd that has decided, together, what Kelada is, and the story’s irony is that the crowd is about to be proven wrong by the very man it has been laughing at.</w:t>
      </w:r>
    </w:p>
    <w:p>
      <w:pPr>
        <w:spacing w:line="360" w:lineRule="auto" w:before="120" w:after="0"/>
        <w:jc w:val="center"/>
      </w:pPr>
      <w:r>
        <w:rPr>
          <w:rFonts w:ascii="Times New Roman" w:hAnsi="Times New Roman"/>
          <w:b/>
          <w:sz w:val="24"/>
        </w:rPr>
        <w:t>Human Dignity: “I Was Mistaken”</w:t>
      </w:r>
    </w:p>
    <w:p>
      <w:pPr>
        <w:spacing w:line="360" w:lineRule="auto" w:after="0"/>
        <w:ind w:firstLine="720"/>
        <w:jc w:val="both"/>
      </w:pPr>
      <w:r>
        <w:rPr>
          <w:rFonts w:ascii="Times New Roman" w:hAnsi="Times New Roman"/>
          <w:b w:val="0"/>
          <w:i w:val="0"/>
          <w:sz w:val="24"/>
        </w:rPr>
        <w:t>The correction arrives through the pearls, and Maugham stages it with real care. The talk at dinner turns to pearls, and Kelada, who cannot help himself, declares that he knows the trade inside out. Mrs. Ramsay is wearing a chain, and her husband says, cheerfully, that she picked it up for a trifling sum. Kelada insists it is genuine and worth a small fortune, and the two men, both stubborn, both vain, put a hundred dollars on it (Maugham, 1936). For Kelada this is not really about money. It is about being right in public, which is the only currency he seems to value. He is about to win, and the reader, still seeing him through the narrator’s eyes, half wants him to lose.</w:t>
      </w:r>
    </w:p>
    <w:p>
      <w:pPr>
        <w:spacing w:line="360" w:lineRule="auto" w:after="0"/>
        <w:ind w:firstLine="720"/>
        <w:jc w:val="both"/>
      </w:pPr>
      <w:r>
        <w:rPr>
          <w:rFonts w:ascii="Times New Roman" w:hAnsi="Times New Roman"/>
          <w:b w:val="0"/>
          <w:i w:val="0"/>
          <w:sz w:val="24"/>
        </w:rPr>
        <w:t>Then the story turns on a single glance. Kelada takes out his magnifying glass, leans in, and looks up, and in that instant he sees Mrs. Ramsay’s face. She is white with fear. He understands, faster than the narrator does, what the truth will cost her: the pearls are real, which means they were a gift she cannot explain, from the year she spent alone in New York while her husband was in Japan. To win the bet is to expose her and break her marriage. So he does not win it. “I was mistaken,” he says. He tells the table it is a clever imitation, hands Mr. Ramsay the hundred dollars, and lets every person there think he is a fraud who talked big and could not back it up (Maugham, 1936).</w:t>
      </w:r>
    </w:p>
    <w:p>
      <w:pPr>
        <w:spacing w:line="360" w:lineRule="auto" w:after="0"/>
        <w:ind w:firstLine="720"/>
        <w:jc w:val="both"/>
      </w:pPr>
      <w:r>
        <w:rPr>
          <w:rFonts w:ascii="Times New Roman" w:hAnsi="Times New Roman"/>
          <w:b w:val="0"/>
          <w:i w:val="0"/>
          <w:sz w:val="24"/>
        </w:rPr>
        <w:t>This is the moral center of the story, and it rewards close attention to what exactly is being sacrificed. Kelada does not give up money he can spare. He gives up the one thing the whole story has told us he cannot live without, his standing as the man who knows. He swallows his pride in front of the same audience that nicknamed him “Mr. Know-All,” and he lets the joke land on him rather than on her. In Kantian terms, the gesture is a textbook case of treating a person as an end rather than a means: Kelada had every incentive to use Mrs. Ramsay’s exposure as the platform for his own triumph, and he refuses to (Kant, 1998). Her dignity, her right not to be broken open for someone else’s vanity, weighs more with him than his own reputation. Nobody at the table sees it. Only the reader does, and only because Maugham, at this moment, changes how the story is told.</w:t>
      </w:r>
    </w:p>
    <w:p>
      <w:pPr>
        <w:spacing w:line="360" w:lineRule="auto" w:before="120" w:after="0"/>
        <w:jc w:val="left"/>
      </w:pPr>
      <w:r>
        <w:rPr>
          <w:rFonts w:ascii="Times New Roman" w:hAnsi="Times New Roman"/>
          <w:b/>
          <w:sz w:val="24"/>
        </w:rPr>
        <w:t>The Narrator Stops Judging and Starts Seeing</w:t>
      </w:r>
    </w:p>
    <w:p>
      <w:pPr>
        <w:spacing w:line="360" w:lineRule="auto" w:after="0"/>
        <w:ind w:firstLine="720"/>
        <w:jc w:val="both"/>
      </w:pPr>
      <w:r>
        <w:rPr>
          <w:rFonts w:ascii="Times New Roman" w:hAnsi="Times New Roman"/>
          <w:b w:val="0"/>
          <w:i w:val="0"/>
          <w:sz w:val="24"/>
        </w:rPr>
        <w:t>The technical shift in the pearl scene is easy to miss and crucial to the effect. For most of the story the narrator has been an interpreter, coloring everything with his dislike. During the examination of the pearls he goes quiet and simply records. He reports what he sees, the glass, the leaning in, the pause, Mrs. Ramsay’s frightened face, without editorializing, almost like a camera. It is not an accident that this is the exact moment he begins to understand Kelada. As long as he was judging, he saw a vulgar show-off. The instant he stops judging and only watches, the real Kelada comes into focus. The form of the narration performs the story’s argument: seeing clearly requires setting the verdict down first.</w:t>
      </w:r>
    </w:p>
    <w:p>
      <w:pPr>
        <w:spacing w:line="360" w:lineRule="auto" w:after="0"/>
        <w:ind w:firstLine="720"/>
        <w:jc w:val="both"/>
      </w:pPr>
      <w:r>
        <w:rPr>
          <w:rFonts w:ascii="Times New Roman" w:hAnsi="Times New Roman"/>
          <w:b w:val="0"/>
          <w:i w:val="0"/>
          <w:sz w:val="24"/>
        </w:rPr>
        <w:t>Maugham then supplies the proof the next morning. A letter is pushed under the cabin door, and inside is a hundred-dollar note (Maugham, 1936). Mrs. Ramsay is quietly repaying the man who took her humiliation for her, and the small envelope confirms everything the narrator has just started to suspect. Kelada meets his eye and does not pretend it never happened. The narrator asks, more or less, whether Kelada minds people thinking he was wrong about pearls, and Kelada’s reply, that no gentleman would have done otherwise, quietly rewrites the whole story. The vulgar Levantine turns out to hold to a code of honor the narrator, for all his fine breeding, had never credited him with.</w:t>
      </w:r>
    </w:p>
    <w:p>
      <w:pPr>
        <w:spacing w:line="360" w:lineRule="auto" w:after="0"/>
        <w:ind w:firstLine="720"/>
        <w:jc w:val="both"/>
      </w:pPr>
      <w:r>
        <w:rPr>
          <w:rFonts w:ascii="Times New Roman" w:hAnsi="Times New Roman"/>
          <w:b w:val="0"/>
          <w:i w:val="0"/>
          <w:sz w:val="24"/>
        </w:rPr>
        <w:t>Which is why the closing line is so carefully weighed: “At that moment I did not entirely dislike Mr. Kelada” (Maugham, 1936). Maugham resists the tidy conversion. Not “I liked him.” Not “I was ashamed.” The narrator concedes only that he did not entirely dislike him, and the hedging is the point. Prejudice does not dissolve in a flash of insight; it loosens, grudgingly, one notch at a time. The honesty of that half-measure is what saves the ending from sentimentality. And notice whose line “I was mistaken” finally belongs to. Kelada says it about a pearl he knew perfectly well was real. The narrator never says it aloud at all, but the whole story is his saying it, about a man he was sure he had read correctly and had not. The bet was never really about the necklace. It was about who was the better judge of value, and the man everyone called Mr. Know-All turns out to know the one thing the narrator did not: how to look at a person and see what actually matters.</w:t>
      </w:r>
    </w:p>
    <w:p>
      <w:pPr>
        <w:spacing w:line="360" w:lineRule="auto" w:before="120" w:after="0"/>
        <w:jc w:val="center"/>
      </w:pPr>
      <w:r>
        <w:rPr>
          <w:rFonts w:ascii="Times New Roman" w:hAnsi="Times New Roman"/>
          <w:b/>
          <w:sz w:val="24"/>
        </w:rPr>
        <w:t>Conclusion</w:t>
      </w:r>
    </w:p>
    <w:p>
      <w:pPr>
        <w:spacing w:line="360" w:lineRule="auto" w:after="0"/>
        <w:ind w:firstLine="720"/>
        <w:jc w:val="both"/>
      </w:pPr>
      <w:r>
        <w:rPr>
          <w:rFonts w:ascii="Times New Roman" w:hAnsi="Times New Roman"/>
          <w:b w:val="0"/>
          <w:i w:val="0"/>
          <w:sz w:val="24"/>
        </w:rPr>
        <w:t>“Mr. Know-All” is short enough to teach in a single lesson and deep enough to argue about for a semester, and the two facts are connected. Maugham compresses a full account of prejudice into a shipboard anecdote: the verdict that comes before the evidence, the details invented to justify it, the racial edge under the good manners, the crowd that mistakes its own echo for proof, and finally the piece of conduct that the prejudiced eye is not equipped to see. The story does not lecture. It puts the reader in the narrator’s seat, lets the reader make the narrator’s mistake, and then, through one glance at a frightened face, lets the reader make the correction alongside him. That is Nussbaum’s claim about narrative fiction in action, that a story can school the moral imagination in a way a principle cannot, by making us feel the shape of an error from the inside before we feel it come undone (Nussbaum, 1995).</w:t>
      </w:r>
    </w:p>
    <w:p>
      <w:pPr>
        <w:spacing w:line="360" w:lineRule="auto" w:after="0"/>
        <w:ind w:firstLine="720"/>
        <w:jc w:val="both"/>
      </w:pPr>
      <w:r>
        <w:rPr>
          <w:rFonts w:ascii="Times New Roman" w:hAnsi="Times New Roman"/>
          <w:b w:val="0"/>
          <w:i w:val="0"/>
          <w:sz w:val="24"/>
        </w:rPr>
        <w:t>If I were teaching this story, I would not begin with the theme. I would begin with the trick. I would ask students to read the first two pages and write down, honestly, what they think of Kelada, and then I would have them mark every place where that opinion is actually the narrator’s and not their own. The word “Levantine” is where the conversation gets real, because it lets a class talk about the difference between disliking a person’s manners and disliking where he comes from, and about how easily the second hides inside the first. For students learning English, the story has the further advantage of being built on a reversal they can feel even before they can name it: the character everyone laughs at is the one with the most character. The close reading and the moral point arrive together.</w:t>
      </w:r>
    </w:p>
    <w:p>
      <w:pPr>
        <w:spacing w:line="360" w:lineRule="auto" w:after="0"/>
        <w:ind w:firstLine="720"/>
        <w:jc w:val="both"/>
      </w:pPr>
      <w:r>
        <w:rPr>
          <w:rFonts w:ascii="Times New Roman" w:hAnsi="Times New Roman"/>
          <w:b w:val="0"/>
          <w:i w:val="0"/>
          <w:sz w:val="24"/>
        </w:rPr>
        <w:t>Working through the story changed how I read the narrator, and by extension how I read myself. On a first pass I took his voice at face value and disliked Kelada right along with him, which is exactly what the narration is designed to make me do. It was only in going back that I saw how much of my judgment had been handed to me, pre-formed, by a man who turned out to be wrong. That is an uncomfortable thing to notice, and it is the story’s real gift. Maugham does not ask us to admire Kelada from a safe distance. He catches us in the same mistake his narrator makes, and then he trusts us, as he trusts the narrator, to be honest enough to admit it.</w:t>
      </w:r>
    </w:p>
    <w:p>
      <w:r>
        <w:br w:type="page"/>
      </w:r>
    </w:p>
    <w:p>
      <w:pPr>
        <w:spacing w:line="360" w:lineRule="auto" w:before="120" w:after="0"/>
        <w:jc w:val="center"/>
      </w:pPr>
      <w:r>
        <w:rPr>
          <w:rFonts w:ascii="Times New Roman" w:hAnsi="Times New Roman"/>
          <w:b/>
          <w:sz w:val="24"/>
        </w:rPr>
        <w:t>References</w:t>
      </w:r>
    </w:p>
    <w:p>
      <w:pPr>
        <w:spacing w:line="360" w:lineRule="auto"/>
        <w:ind w:left="720" w:hanging="720"/>
        <w:jc w:val="both"/>
      </w:pPr>
      <w:r>
        <w:rPr>
          <w:rFonts w:ascii="Times New Roman" w:hAnsi="Times New Roman"/>
          <w:sz w:val="24"/>
        </w:rPr>
        <w:t>Allport, G. W. (1954). The nature of prejudice. Addison-Wesley.</w:t>
      </w:r>
    </w:p>
    <w:p>
      <w:pPr>
        <w:spacing w:line="360" w:lineRule="auto"/>
        <w:ind w:left="720" w:hanging="720"/>
        <w:jc w:val="both"/>
      </w:pPr>
      <w:r>
        <w:rPr>
          <w:rFonts w:ascii="Times New Roman" w:hAnsi="Times New Roman"/>
          <w:sz w:val="24"/>
        </w:rPr>
        <w:t>Booth, W. C. (1983). The rhetoric of fiction (2nd ed.). University of Chicago Press.</w:t>
      </w:r>
    </w:p>
    <w:p>
      <w:pPr>
        <w:spacing w:line="360" w:lineRule="auto"/>
        <w:ind w:left="720" w:hanging="720"/>
        <w:jc w:val="both"/>
      </w:pPr>
      <w:r>
        <w:rPr>
          <w:rFonts w:ascii="Times New Roman" w:hAnsi="Times New Roman"/>
          <w:sz w:val="24"/>
        </w:rPr>
        <w:t>Kahneman, D. (2011). Thinking, fast and slow. Farrar, Straus and Giroux.</w:t>
      </w:r>
    </w:p>
    <w:p>
      <w:pPr>
        <w:spacing w:line="360" w:lineRule="auto"/>
        <w:ind w:left="720" w:hanging="720"/>
        <w:jc w:val="both"/>
      </w:pPr>
      <w:r>
        <w:rPr>
          <w:rFonts w:ascii="Times New Roman" w:hAnsi="Times New Roman"/>
          <w:sz w:val="24"/>
        </w:rPr>
        <w:t>Kant, I. (1998). Groundwork of the metaphysics of morals (M. Gregor, Ed. &amp; Trans.). Cambridge University Press. (Original work published 1785)</w:t>
      </w:r>
    </w:p>
    <w:p>
      <w:pPr>
        <w:spacing w:line="360" w:lineRule="auto"/>
        <w:ind w:left="720" w:hanging="720"/>
        <w:jc w:val="both"/>
      </w:pPr>
      <w:r>
        <w:rPr>
          <w:rFonts w:ascii="Times New Roman" w:hAnsi="Times New Roman"/>
          <w:sz w:val="24"/>
        </w:rPr>
        <w:t>Maugham, W. S. (1936). Mr. Know-All. In Cosmopolitans: Very short stories. William Heinemann.</w:t>
      </w:r>
    </w:p>
    <w:p>
      <w:pPr>
        <w:spacing w:line="360" w:lineRule="auto"/>
        <w:ind w:left="720" w:hanging="720"/>
        <w:jc w:val="both"/>
      </w:pPr>
      <w:r>
        <w:rPr>
          <w:rFonts w:ascii="Times New Roman" w:hAnsi="Times New Roman"/>
          <w:sz w:val="24"/>
        </w:rPr>
        <w:t>Nussbaum, M. C. (1995). Poetic justice: The literary imagination and public life. Beacon Press.</w:t>
      </w:r>
    </w:p>
    <w:p>
      <w:pPr>
        <w:spacing w:line="360" w:lineRule="auto"/>
        <w:ind w:left="720" w:hanging="720"/>
        <w:jc w:val="both"/>
      </w:pPr>
      <w:r>
        <w:rPr>
          <w:rFonts w:ascii="Times New Roman" w:hAnsi="Times New Roman"/>
          <w:sz w:val="24"/>
        </w:rPr>
        <w:t>Nussbaum, M. C. (1997). Cultivating humanity: A classical defense of reform in liberal education. Harvard University Press.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