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הדר פוקס</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נושא עבודת הסמינריון, כפי שאושר על ידי מרצה הסמינריון בקורס "המשפט כתרבות פופולרית", הוא ניתוח אוטואתנוגרפי של תביעת עבודה, תוך התמקדות בפער שבין ייצוגי המשפט והצדק בתרבות הפופולרית לבין המציאות של ההליך, הסחבת והגבייה. שאלת המחקר: כיצד משתקף הפער בין הבניית "עשיית הצדק" בתרבות הפופולרית לבין מציאות הגבייה ויחסי הכוח בתביעות עבודה? ניתוח מקרה בוחן אישי.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(Sandefur, 2019) - מאמר אקדמי מכתב עת. אותר במנוע החיפוש Google Scholar באמצעות מילות החיפוש והאופרטורים: "access to justice" AND "legal aid" AND inequality. קישור לטקסט המלא:</w:t>
      </w:r>
    </w:p>
    <w:p>
      <w:pPr>
        <w:bidi w:val="false"/>
        <w:spacing w:after="120" w:line="360" w:lineRule="auto"/>
        <w:ind w:left="709"/>
        <w:jc w:val="left"/>
      </w:pPr>
      <w:hyperlink w:history="1" r:id="rIddphlygreo5hzr35mkjvhn">
        <w:r>
          <w:rPr>
            <w:rStyle w:val="Hyperlink"/>
            <w:rFonts w:ascii="Times New Roman" w:cs="Times New Roman" w:eastAsia="Times New Roman" w:hAnsi="Times New Roman"/>
            <w:sz w:val="22"/>
            <w:szCs w:val="22"/>
          </w:rPr>
          <w:t xml:space="preserve">https://www.amacad.org/sites/default/files/publication/downloads/19_Winter_Daedalus_Sandefur.pdf</w:t>
        </w:r>
      </w:hyperlink>
    </w:p>
    <w:p>
      <w:pPr>
        <w:bidi/>
        <w:spacing w:after="120" w:line="360" w:lineRule="auto"/>
        <w:jc w:val="both"/>
      </w:pPr>
      <w:r>
        <w:rPr>
          <w:rFonts w:ascii="Times New Roman" w:cs="David" w:eastAsia="David" w:hAnsi="Times New Roman"/>
          <w:b w:val="false"/>
          <w:i w:val="false"/>
          <w:sz w:val="24"/>
          <w:szCs w:val="24"/>
          <w:rtl/>
        </w:rPr>
        <w:t xml:space="preserve">(Sela, 2016) - מאמר אקדמי מכתב עת. אותר במנוע החיפוש Google Scholar באמצעות מילות החיפוש והאופרטורים: "online courts" AND "self-represented litigants". קישור לטקסט המלא:</w:t>
      </w:r>
    </w:p>
    <w:p>
      <w:pPr>
        <w:bidi w:val="false"/>
        <w:spacing w:after="120" w:line="360" w:lineRule="auto"/>
        <w:ind w:left="709"/>
        <w:jc w:val="left"/>
      </w:pPr>
      <w:hyperlink w:history="1" r:id="rIdnznb0peoc82v5nftrsisg">
        <w:r>
          <w:rPr>
            <w:rStyle w:val="Hyperlink"/>
            <w:rFonts w:ascii="Times New Roman" w:cs="Times New Roman" w:eastAsia="Times New Roman" w:hAnsi="Times New Roman"/>
            <w:sz w:val="22"/>
            <w:szCs w:val="22"/>
          </w:rPr>
          <w:t xml:space="preserve">https://scholarship.law.cornell.edu/cjlpp/vol26/iss2/3/</w:t>
        </w:r>
      </w:hyperlink>
    </w:p>
    <w:p>
      <w:pPr>
        <w:bidi/>
        <w:spacing w:after="120" w:line="360" w:lineRule="auto"/>
        <w:jc w:val="both"/>
      </w:pPr>
      <w:r>
        <w:rPr>
          <w:rFonts w:ascii="Times New Roman" w:cs="David" w:eastAsia="David" w:hAnsi="Times New Roman"/>
          <w:b w:val="false"/>
          <w:i w:val="false"/>
          <w:sz w:val="24"/>
          <w:szCs w:val="24"/>
          <w:rtl/>
        </w:rPr>
        <w:t xml:space="preserve">(מור, 2016) - מאמר אקדמי מכתב עת. אותר במדור כתבי העת של המאגר המשפטי נבו, בכתב העת "חוקים", באמצעות מילות החיפוש: נגישות לצדק AND נגישות למשפט. קישור לטקסט המלא:</w:t>
      </w:r>
    </w:p>
    <w:p>
      <w:pPr>
        <w:bidi w:val="false"/>
        <w:spacing w:after="120" w:line="360" w:lineRule="auto"/>
        <w:ind w:left="709"/>
        <w:jc w:val="left"/>
      </w:pPr>
      <w:hyperlink w:history="1" r:id="rIdf0f-sy4fjlma6obqcchs2">
        <w:r>
          <w:rPr>
            <w:rStyle w:val="Hyperlink"/>
            <w:rFonts w:ascii="Times New Roman" w:cs="Times New Roman" w:eastAsia="Times New Roman" w:hAnsi="Times New Roman"/>
            <w:sz w:val="22"/>
            <w:szCs w:val="22"/>
          </w:rPr>
          <w:t xml:space="preserve">https://law.haifa.ac.il/images/documents/Trial_Accessible%20to%20all.pdf</w:t>
        </w:r>
      </w:hyperlink>
    </w:p>
    <w:p>
      <w:pPr>
        <w:bidi/>
        <w:spacing w:after="240" w:line="360" w:lineRule="auto"/>
        <w:jc w:val="start"/>
      </w:pPr>
      <w:r>
        <w:rPr>
          <w:rFonts w:ascii="Times New Roman" w:cs="David" w:eastAsia="David" w:hAnsi="Times New Roman"/>
          <w:b/>
          <w:bCs/>
          <w:i w:val="false"/>
          <w:sz w:val="32"/>
          <w:szCs w:val="32"/>
          <w:rtl/>
        </w:rPr>
        <w:t xml:space="preserve">3. ראש הפרק: הייצוג מטעם המדינה ונגישות לצדק</w:t>
      </w:r>
    </w:p>
    <w:p>
      <w:pPr>
        <w:bidi/>
        <w:spacing w:after="120" w:line="360" w:lineRule="auto"/>
        <w:jc w:val="both"/>
      </w:pPr>
      <w:r>
        <w:rPr>
          <w:rFonts w:ascii="Times New Roman" w:cs="David" w:eastAsia="David" w:hAnsi="Times New Roman"/>
          <w:b w:val="false"/>
          <w:i w:val="false"/>
          <w:sz w:val="24"/>
          <w:szCs w:val="24"/>
          <w:rtl/>
        </w:rPr>
        <w:t xml:space="preserve">ראש פרק זה, הראשון בסקירת הספרות של עבודת הסמינריון, עוסק בנגישות לצדק ובייצוג המשפטי הניתן מטעם המדינה למי שידם אינה משגת. נקודת המוצא היא שזכות הגישה לערכאות נותרת ריקה מתוכן כאשר מימושה בפועל תלוי במשאבים, בידע ובזמן שאין לתובע מן השורה. בשיח הציבורי מקובל לזהות את פתרון הבעיה עם עצם קיומו של ייצוג, כלומר עם מינוי עורך דין מטעם הסיוע המשפטי למי שאינו יכול לשלם, וכך נמדדת בדרך כלל גם הצלחתה של מדיניות הרווחה המשפטית. הטענה המרכזית של ראש הפרק היא שנגישות לצדק אינה מסתכמת בהעמדת עורך דין, אלא תלויה באופן שבו המוסדות בנויים, בשפה שבה הם מדברים, ובאופן שבו בעלי הדין תופסים אותם וחווים אותם לאורך ההליך. מן הטענה נגזרת השערה מעשית: גם מי שקיבל ייצוג ציבורי מלא עשוי להיתקל בחסמים של זמן, ידע, שפה ותודעה, ולחוות את ההליך כזירה זרה שאינה ערוכה סביבו. לביסוס הטענה נשען הפרק על שלושה מקורות מן העשור האחרון, הבוחנים את הנגישות משלושה כיוונים משלימים: הגדרה מחודשת של היקף הבעיה ושורשיה, העיצוב המוסדי והטכנולוגי של מערכות יישוב סכסוכים, וההמשגה הישראלית העדכנית של המושג. הדיון המשולב בשלושתם יניח את התשתית לניתוח חוויית הייצוג מטעם המדינה במקרה הבוחן האישי שבלב העבודה.</w:t>
      </w:r>
    </w:p>
    <w:p>
      <w:pPr>
        <w:bidi/>
        <w:spacing w:after="120" w:line="360" w:lineRule="auto"/>
        <w:jc w:val="both"/>
      </w:pPr>
      <w:r>
        <w:rPr>
          <w:rFonts w:ascii="Times New Roman" w:cs="David" w:eastAsia="David" w:hAnsi="Times New Roman"/>
          <w:b w:val="false"/>
          <w:i w:val="false"/>
          <w:sz w:val="24"/>
          <w:szCs w:val="24"/>
          <w:rtl/>
        </w:rPr>
        <w:t xml:space="preserve">סנדפור (Sandefur, 2019) בוחנת את משבר הנגישות לצדק בארצות הברית ומציעה לו אבחון מפתיע. לטענתה, הבעיה המרכזית אינה מחסור בעורכי דין או במימון הייצוג, כפי שנהוג להניח. מחקריה מראים שמרבית האנשים המתמודדים עם בעיות בעלות אופי משפטי, בתחומי תעסוקה, דיור וחובות, כלל אינם מזהים אותן כבעיות משפטיות. משום כך הם אינם פונים לעזרה מקצועית, והבעיות מוכרעות בפועל על ידי הצד החזק, המעסיק, בעל הבית או הנושה. גם כאשר האזרח כן מגיע למערכת, הוא מוצא מוסדות שבנויים סביב צורכיהם של אנשי המקצוע ולא סביב יכולותיו של ההדיוט. מכאן שהפתרון אינו רק תוספת של עורכי דין, אלא עיצוב מחדש של נקודות המפגש שבין הציבור למערכת. המסקנה החשובה לענייננו היא שייצוג ציבורי הוא תנאי הכרחי אך לא מספיק לנגישות ממשית לצדק.</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מפתחים את הכיוון הזה משני עברים, הטכנולוגי-מוסדי והמושגי-ישראלי. סלע (Sela, 2016) מתמקדת בעיצוב המוסדי ומראה כיצד בתי משפט מקוונים יכולים לתת מענה לקשייהם של מתדיינים המייצגים את עצמם, אלה שההליך המסורתי יקר, מסורבל ומרתיע מדי עבורם. ממחקרה עולה שעיצוב נכון של סביבת ההתדיינות משפר את חוויית ההליך ההוגן של בעלי דין לא מיוצגים, כלומר שהנגישות תלויה במבנה הממשק שבין האזרח למערכת. מור (2016) מציעה את התשתית המושגית לדיון הישראלי ומבחינה בין שלוש רמות של נגישות: גישה לערכאות, נגישות למשפט ונגישות לצדק, שהיא התוצאה ההוגנת בפועל. מניתוחה, הנשען על ביקורת המוגבלות, עולה שחסמים בדרך אל הצדק אינם תקלה נקודתית אלא מאפיין מבני של האופן שבו המערכת תוכננה, ולכן הסרתם דורשת עיצוב מחדש של המוסדות ולא רק סיוע פרטני. חיבור שני המקורות מלמד שהנגישות מוכרעת בשני מפגשים: בין האזרח למוסד, ובין האזרח למושג הצדק שהוא נושא עימו. כאשר המפגשים האלה מתווכים על ידי מחסור ועומס, הייצוג הציבורי נחווה כברירת מחדל ולא כזכות.</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שנגישות לצדק צריכה להימדד בחוויית המשתמש ובתוצאה המעשית, ולא רק בקיומו הפורמלי של ייצוג. שלושת המקורות, כל אחד מזווית אחרת, מצביעים יחד על פער עקבי בין הזכות הכתובה לבין מימושה בפועל, פער שמתרכז דווקא אצל האוכלוסיות התלויות בייצוג הציבורי. הפער אינו נסגר ברגע שממונה עורך דין מטעם המדינה, והוא מלווה את בעל הדין בכל תחנה של ההליך, מהגשת התביעה ועד ההכרעה. חשוב מכך, הוא אינו מסתיים גם בפסק הדין עצמו, שכן זכייה כתובה שאינה נאכפת נותרת הבטחה על נייר. מסקנה זו מובילה ישירות לראש הפרק הבא בסקירת הספרות, שיעסוק בפער שבין החוק שבספרים לחוק שבפעולה לאור תופעת האקטיביזם המשפטי בישראל. שם ייבחן השלב שבו הנגישות לצדק עומדת במבחנה האחרון והקשה ביותר: גביית פסק הדין הלכה למעשה.</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מור, ש' (2016). משפט נגיש לכל: הזכות לנגישות ונגישות למשפט - ביקורת מוגבלות. </w:t>
      </w:r>
      <w:r>
        <w:rPr>
          <w:rFonts w:ascii="Times New Roman" w:cs="David" w:eastAsia="David" w:hAnsi="Times New Roman"/>
          <w:b w:val="false"/>
          <w:i/>
          <w:iCs/>
          <w:sz w:val="24"/>
          <w:szCs w:val="24"/>
          <w:rtl/>
        </w:rPr>
        <w:t xml:space="preserve">חוקים, ח</w:t>
      </w:r>
      <w:r>
        <w:rPr>
          <w:rFonts w:ascii="Times New Roman" w:cs="David" w:eastAsia="David" w:hAnsi="Times New Roman"/>
          <w:b w:val="false"/>
          <w:i w:val="false"/>
          <w:sz w:val="24"/>
          <w:szCs w:val="24"/>
          <w:rtl/>
        </w:rPr>
        <w:t xml:space="preserve">, 15-83. זמין במאגר המשפטי נבו.</w:t>
      </w:r>
    </w:p>
    <w:p>
      <w:pPr>
        <w:bidi w:val="false"/>
        <w:spacing w:after="180" w:line="360" w:lineRule="auto"/>
        <w:ind w:left="709"/>
        <w:jc w:val="left"/>
      </w:pPr>
      <w:hyperlink w:history="1" r:id="rIdyvvfiocuj5eh9k-1upsqm">
        <w:r>
          <w:rPr>
            <w:rStyle w:val="Hyperlink"/>
            <w:rFonts w:ascii="Times New Roman" w:cs="Times New Roman" w:eastAsia="Times New Roman" w:hAnsi="Times New Roman"/>
            <w:sz w:val="22"/>
            <w:szCs w:val="22"/>
          </w:rPr>
          <w:t xml:space="preserve">https://law.haifa.ac.il/images/documents/Trial_Accessible%20to%20all.pdf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Sela, A. (2016). Streamlining justice: How online courts can resolve the challenges of pro se litigation. </w:t>
      </w:r>
      <w:r>
        <w:rPr>
          <w:rFonts w:ascii="Times New Roman" w:cs="Times New Roman" w:eastAsia="Times New Roman" w:hAnsi="Times New Roman"/>
          <w:b w:val="false"/>
          <w:i/>
          <w:iCs/>
          <w:sz w:val="24"/>
          <w:szCs w:val="24"/>
          <w:rtl w:val="false"/>
        </w:rPr>
        <w:t xml:space="preserve">Cornell Journal of Law and Public Policy, 26</w:t>
      </w:r>
      <w:r>
        <w:rPr>
          <w:rFonts w:ascii="Times New Roman" w:cs="Times New Roman" w:eastAsia="Times New Roman" w:hAnsi="Times New Roman"/>
          <w:b w:val="false"/>
          <w:i w:val="false"/>
          <w:sz w:val="24"/>
          <w:szCs w:val="24"/>
          <w:rtl w:val="false"/>
        </w:rPr>
        <w:t xml:space="preserve">(2), 331.</w:t>
      </w:r>
    </w:p>
    <w:p>
      <w:pPr>
        <w:bidi w:val="false"/>
        <w:spacing w:after="180" w:line="360" w:lineRule="auto"/>
        <w:ind w:left="709"/>
        <w:jc w:val="left"/>
      </w:pPr>
      <w:hyperlink w:history="1" r:id="rIdzcrbtipudzvbrlasmebdc">
        <w:r>
          <w:rPr>
            <w:rStyle w:val="Hyperlink"/>
            <w:rFonts w:ascii="Times New Roman" w:cs="Times New Roman" w:eastAsia="Times New Roman" w:hAnsi="Times New Roman"/>
            <w:sz w:val="22"/>
            <w:szCs w:val="22"/>
          </w:rPr>
          <w:t xml:space="preserve">https://scholarship.law.cornell.edu/cjlpp/vol26/iss2/3/</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Sandefur, R. L. (2019). Access to what? </w:t>
      </w:r>
      <w:r>
        <w:rPr>
          <w:rFonts w:ascii="Times New Roman" w:cs="Times New Roman" w:eastAsia="Times New Roman" w:hAnsi="Times New Roman"/>
          <w:b w:val="false"/>
          <w:i/>
          <w:iCs/>
          <w:sz w:val="24"/>
          <w:szCs w:val="24"/>
          <w:rtl w:val="false"/>
        </w:rPr>
        <w:t xml:space="preserve">Daedalus, 148</w:t>
      </w:r>
      <w:r>
        <w:rPr>
          <w:rFonts w:ascii="Times New Roman" w:cs="Times New Roman" w:eastAsia="Times New Roman" w:hAnsi="Times New Roman"/>
          <w:b w:val="false"/>
          <w:i w:val="false"/>
          <w:sz w:val="24"/>
          <w:szCs w:val="24"/>
          <w:rtl w:val="false"/>
        </w:rPr>
        <w:t xml:space="preserve">(1), 49-55.</w:t>
      </w:r>
    </w:p>
    <w:p>
      <w:pPr>
        <w:bidi w:val="false"/>
        <w:spacing w:after="180" w:line="360" w:lineRule="auto"/>
        <w:ind w:left="709"/>
        <w:jc w:val="left"/>
      </w:pPr>
      <w:hyperlink w:history="1" r:id="rIdllt9q6sh0hnmpeo8kvg1p">
        <w:r>
          <w:rPr>
            <w:rStyle w:val="Hyperlink"/>
            <w:rFonts w:ascii="Times New Roman" w:cs="Times New Roman" w:eastAsia="Times New Roman" w:hAnsi="Times New Roman"/>
            <w:sz w:val="22"/>
            <w:szCs w:val="22"/>
          </w:rPr>
          <w:t xml:space="preserve">https://doi.org/10.1162/daed_a_00534</w:t>
        </w:r>
      </w:hyperlink>
    </w:p>
    <w:p>
      <w:pPr>
        <w:pageBreakBefore/>
        <w:bidi/>
        <w:spacing w:after="240" w:line="360" w:lineRule="auto"/>
        <w:jc w:val="start"/>
      </w:pPr>
      <w:r>
        <w:rPr>
          <w:rFonts w:ascii="Times New Roman" w:cs="David" w:eastAsia="David" w:hAnsi="Times New Roman"/>
          <w:b/>
          <w:bCs/>
          <w:i w:val="false"/>
          <w:sz w:val="32"/>
          <w:szCs w:val="32"/>
          <w:rtl/>
        </w:rPr>
        <w:t xml:space="preserve">נספחים</w:t>
      </w:r>
    </w:p>
    <w:p>
      <w:pPr>
        <w:bidi/>
        <w:spacing w:after="120" w:line="360" w:lineRule="auto"/>
        <w:jc w:val="both"/>
      </w:pPr>
      <w:r>
        <w:rPr>
          <w:rFonts w:ascii="Times New Roman" w:cs="David" w:eastAsia="David" w:hAnsi="Times New Roman"/>
          <w:b w:val="false"/>
          <w:i w:val="false"/>
          <w:sz w:val="24"/>
          <w:szCs w:val="24"/>
          <w:rtl/>
        </w:rPr>
        <w:t xml:space="preserve">להלן העמודים המרכזיים מן הפריטים האקדמיים ששימשו לכתיבת ראש הפרק. הפריטים המלאים מצורפים לתיבת ההגשה כנדרש בהנחיות.</w:t>
      </w:r>
    </w:p>
    <w:p>
      <w:pPr>
        <w:bidi/>
        <w:spacing w:after="120" w:line="360" w:lineRule="auto"/>
        <w:jc w:val="start"/>
      </w:pPr>
      <w:r>
        <w:rPr>
          <w:rFonts w:ascii="Times New Roman" w:cs="David" w:eastAsia="David" w:hAnsi="Times New Roman"/>
          <w:b/>
          <w:bCs/>
          <w:i w:val="false"/>
          <w:sz w:val="24"/>
          <w:szCs w:val="24"/>
          <w:u w:val="single"/>
          <w:rtl/>
        </w:rPr>
        <w:t xml:space="preserve">נספח א: Sandefur (2019), המאמר המלא</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10125" cy="6800850"/>
                    </a:xfrm>
                    <a:prstGeom prst="rect">
                      <a:avLst/>
                    </a:prstGeom>
                  </pic:spPr>
                </pic:pic>
              </a:graphicData>
            </a:graphic>
          </wp:inline>
        </w:drawing>
      </w:r>
    </w:p>
    <w:p>
      <w:pPr>
        <w:pageBreakBefore/>
        <w:bidi/>
        <w:spacing w:after="120" w:line="360" w:lineRule="auto"/>
        <w:jc w:val="start"/>
      </w:pPr>
      <w:r>
        <w:rPr>
          <w:rFonts w:ascii="Times New Roman" w:cs="David" w:eastAsia="David" w:hAnsi="Times New Roman"/>
          <w:b/>
          <w:bCs/>
          <w:i w:val="false"/>
          <w:sz w:val="24"/>
          <w:szCs w:val="24"/>
          <w:u w:val="single"/>
          <w:rtl/>
        </w:rPr>
        <w:t xml:space="preserve">נספח ב: מור (2016), עמ' 15-18 (תקציר, מבוא וההבחנה בין שלושת מישורי הנגישות)</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10125" cy="6800850"/>
                    </a:xfrm>
                    <a:prstGeom prst="rect">
                      <a:avLst/>
                    </a:prstGeom>
                  </pic:spPr>
                </pic:pic>
              </a:graphicData>
            </a:graphic>
          </wp:inline>
        </w:drawing>
      </w:r>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dphlygreo5hzr35mkjvhn" Type="http://schemas.openxmlformats.org/officeDocument/2006/relationships/hyperlink" Target="https://www.amacad.org/sites/default/files/publication/downloads/19_Winter_Daedalus_Sandefur.pdf" TargetMode="External"/><Relationship Id="rIdnznb0peoc82v5nftrsisg" Type="http://schemas.openxmlformats.org/officeDocument/2006/relationships/hyperlink" Target="https://scholarship.law.cornell.edu/cjlpp/vol26/iss2/3/" TargetMode="External"/><Relationship Id="rIdf0f-sy4fjlma6obqcchs2" Type="http://schemas.openxmlformats.org/officeDocument/2006/relationships/hyperlink" Target="https://law.haifa.ac.il/images/documents/Trial_Accessible%20to%20all.pdf" TargetMode="External"/><Relationship Id="rIdyvvfiocuj5eh9k-1upsqm" Type="http://schemas.openxmlformats.org/officeDocument/2006/relationships/hyperlink" Target="https://law.haifa.ac.il/images/documents/Trial_Accessible%20to%20all.pdf" TargetMode="External"/><Relationship Id="rIdzcrbtipudzvbrlasmebdc" Type="http://schemas.openxmlformats.org/officeDocument/2006/relationships/hyperlink" Target="https://scholarship.law.cornell.edu/cjlpp/vol26/iss2/3/" TargetMode="External"/><Relationship Id="rIdllt9q6sh0hnmpeo8kvg1p" Type="http://schemas.openxmlformats.org/officeDocument/2006/relationships/hyperlink" Target="https://doi.org/10.1162/daed_a_00534" TargetMode="External"/><Relationship Id="rId9" Type="http://schemas.openxmlformats.org/officeDocument/2006/relationships/image" Target="media/05ddc4aeaab80d6433e1901a35456985d6fc9a90.jpg"/><Relationship Id="rId10" Type="http://schemas.openxmlformats.org/officeDocument/2006/relationships/image" Target="media/808f9b05d2e65b8475b6674603dd85ac0be4dbba.jpg"/><Relationship Id="rId11" Type="http://schemas.openxmlformats.org/officeDocument/2006/relationships/image" Target="media/5434cd452d491c8f88e8c0e557cf33ab76c050f0.jpg"/><Relationship Id="rId12" Type="http://schemas.openxmlformats.org/officeDocument/2006/relationships/image" Target="media/528b715e97728522137617da93ecad35f179dba3.jpg"/><Relationship Id="rId13" Type="http://schemas.openxmlformats.org/officeDocument/2006/relationships/image" Target="media/3bfb804059136416a0a72a24d59aec27fcb3aa35.jpg"/><Relationship Id="rId14" Type="http://schemas.openxmlformats.org/officeDocument/2006/relationships/image" Target="media/dc31621a732de98d44604830c2fb80395f54b3c5.jpg"/><Relationship Id="rId15" Type="http://schemas.openxmlformats.org/officeDocument/2006/relationships/image" Target="media/51e8b7e61f9f741c39d0d89576492fc9c9c261ee.jpg"/><Relationship Id="rId16" Type="http://schemas.openxmlformats.org/officeDocument/2006/relationships/image" Target="media/07ea3fad040d00609925643ddf65f83e6378ddbd.jpg"/><Relationship Id="rId17" Type="http://schemas.openxmlformats.org/officeDocument/2006/relationships/image" Target="media/6fd9a78d3f3dbfc1555e9af8c462a71e25ef578e.jpg"/><Relationship Id="rId18" Type="http://schemas.openxmlformats.org/officeDocument/2006/relationships/image" Target="media/77d77b9906d98d2355336fbc5e6558001bebf26f.jpg"/><Relationship Id="rId19" Type="http://schemas.openxmlformats.org/officeDocument/2006/relationships/image" Target="media/ea1109ba8fcf8668a9c705dc6dac16d8775bab03.jp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הדר פוקס</dc:creator>
  <cp:lastModifiedBy>Un-named</cp:lastModifiedBy>
  <cp:revision>1</cp:revision>
  <dcterms:created xsi:type="dcterms:W3CDTF">2026-08-01T11:42:59.257Z</dcterms:created>
  <dcterms:modified xsi:type="dcterms:W3CDTF">2026-08-01T11:42:59.258Z</dcterms:modified>
</cp:coreProperties>
</file>

<file path=docProps/custom.xml><?xml version="1.0" encoding="utf-8"?>
<Properties xmlns="http://schemas.openxmlformats.org/officeDocument/2006/custom-properties" xmlns:vt="http://schemas.openxmlformats.org/officeDocument/2006/docPropsVTypes"/>
</file>