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עבודת הסמינריון שלי בקורס "המשפט כתרבות פופולרית", כפי שאושרה על ידי מרצה הסמינריון, עוסקת בניתוח אוטואתנוגרפי של תביעת עבודה, ובוחנת את המרחק שבין הדימוי התרבותי של עשיית צדק לבין חוויית ההליך בפועל, על הסחבת שבו ועל שלב הגבייה שאחריו.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(Chua &amp; Engel, 2019) - מאמר אקדמי מכתב עת. אותר במנוע החיפוש Google Scholar באמצעות מילות החיפוש והאופרטורים: "legal consciousness" AND review AND mobilization. קישור לטקסט המלא:</w:t>
      </w:r>
    </w:p>
    <w:p>
      <w:pPr>
        <w:bidi w:val="false"/>
        <w:spacing w:after="120" w:line="360" w:lineRule="auto"/>
        <w:ind w:left="709"/>
        <w:jc w:val="left"/>
      </w:pPr>
      <w:hyperlink w:history="1" r:id="rIdx1hvp84y3axmrxuvadntf">
        <w:r>
          <w:rPr>
            <w:rStyle w:val="Hyperlink"/>
            <w:rFonts w:ascii="Times New Roman" w:cs="Times New Roman" w:eastAsia="Times New Roman" w:hAnsi="Times New Roman"/>
            <w:sz w:val="22"/>
            <w:szCs w:val="22"/>
          </w:rPr>
          <w:t xml:space="preserve">https://digitalcommons.law.buffalo.edu/journal_articles/966/</w:t>
        </w:r>
      </w:hyperlink>
    </w:p>
    <w:p>
      <w:pPr>
        <w:bidi/>
        <w:spacing w:after="120" w:line="360" w:lineRule="auto"/>
        <w:jc w:val="both"/>
      </w:pPr>
      <w:r>
        <w:rPr>
          <w:rFonts w:ascii="Times New Roman" w:cs="David" w:eastAsia="David" w:hAnsi="Times New Roman"/>
          <w:b w:val="false"/>
          <w:i w:val="false"/>
          <w:sz w:val="24"/>
          <w:szCs w:val="24"/>
          <w:rtl/>
        </w:rPr>
        <w:t xml:space="preserve">(פלג, 2022) - מאמר אקדמי מכתב עת. אותר בכתב העת הפתוח "מסגרות מדיה" באמצעות מילות החיפוש: עיתונאי המשפט AND בתי המשפט. קישור לטקסט המלא:</w:t>
      </w:r>
    </w:p>
    <w:p>
      <w:pPr>
        <w:bidi w:val="false"/>
        <w:spacing w:after="120" w:line="360" w:lineRule="auto"/>
        <w:ind w:left="709"/>
        <w:jc w:val="left"/>
      </w:pPr>
      <w:hyperlink w:history="1" r:id="rId5mve5e0f-dhdz7-etnfkh">
        <w:r>
          <w:rPr>
            <w:rStyle w:val="Hyperlink"/>
            <w:rFonts w:ascii="Times New Roman" w:cs="Times New Roman" w:eastAsia="Times New Roman" w:hAnsi="Times New Roman"/>
            <w:sz w:val="22"/>
            <w:szCs w:val="22"/>
          </w:rPr>
          <w:t xml:space="preserve">https://mediaframes.sapir.ac.il/wp-content/uploads/2022/02/Journalist.pdf</w:t>
        </w:r>
      </w:hyperlink>
    </w:p>
    <w:p>
      <w:pPr>
        <w:bidi/>
        <w:spacing w:after="120" w:line="360" w:lineRule="auto"/>
        <w:jc w:val="both"/>
      </w:pPr>
      <w:r>
        <w:rPr>
          <w:rFonts w:ascii="Times New Roman" w:cs="David" w:eastAsia="David" w:hAnsi="Times New Roman"/>
          <w:b w:val="false"/>
          <w:i w:val="false"/>
          <w:sz w:val="24"/>
          <w:szCs w:val="24"/>
          <w:rtl/>
        </w:rPr>
        <w:t xml:space="preserve">(נדיב, 2023) - מאמר אקדמי מכתב עת. אותר במדור כתבי העת של המאגר המשפטי נבו, בכתב העת "משפט ועסקים", באמצעות מילות החיפוש: עומס שיפוטי AND בתי המשפט. קישור לטקסט המלא:</w:t>
      </w:r>
    </w:p>
    <w:p>
      <w:pPr>
        <w:bidi w:val="false"/>
        <w:spacing w:after="120" w:line="360" w:lineRule="auto"/>
        <w:ind w:left="709"/>
        <w:jc w:val="left"/>
      </w:pPr>
      <w:hyperlink w:history="1" r:id="rId7m3b5mxeqh2e9j8-jzvsi">
        <w:r>
          <w:rPr>
            <w:rStyle w:val="Hyperlink"/>
            <w:rFonts w:ascii="Times New Roman" w:cs="Times New Roman" w:eastAsia="Times New Roman" w:hAnsi="Times New Roman"/>
            <w:sz w:val="22"/>
            <w:szCs w:val="22"/>
          </w:rPr>
          <w:t xml:space="preserve">https://www.runi.ac.il/media/jikgidv4/nadiv.pdf</w:t>
        </w:r>
      </w:hyperlink>
    </w:p>
    <w:p>
      <w:pPr>
        <w:bidi/>
        <w:spacing w:after="240" w:line="360" w:lineRule="auto"/>
        <w:jc w:val="start"/>
      </w:pPr>
      <w:r>
        <w:rPr>
          <w:rFonts w:ascii="Times New Roman" w:cs="David" w:eastAsia="David" w:hAnsi="Times New Roman"/>
          <w:b/>
          <w:bCs/>
          <w:i w:val="false"/>
          <w:sz w:val="32"/>
          <w:szCs w:val="32"/>
          <w:rtl/>
        </w:rPr>
        <w:t xml:space="preserve">3. ראש הפרק: הסחבת המשפטית: בין הזמן התרבותי לזמן המוסדי</w:t>
      </w:r>
    </w:p>
    <w:p>
      <w:pPr>
        <w:bidi/>
        <w:spacing w:after="120" w:line="360" w:lineRule="auto"/>
        <w:jc w:val="both"/>
      </w:pPr>
      <w:r>
        <w:rPr>
          <w:rFonts w:ascii="Times New Roman" w:cs="David" w:eastAsia="David" w:hAnsi="Times New Roman"/>
          <w:b w:val="false"/>
          <w:i w:val="false"/>
          <w:sz w:val="24"/>
          <w:szCs w:val="24"/>
          <w:rtl/>
        </w:rPr>
        <w:t xml:space="preserve">ראש פרק זה, החותם את סקירת הספרות של עבודת הסמינריון, עוסק במימד הזמן של ההליך המשפטי ובפער שבין ייצוגו התרבותי לבין התמשכותו בפועל. התרבות הפופולרית מרגילה את צרכניה למשפט שנפתח ונסגר במהירות של פרק טלוויזיה, ואילו ההליך הממשי, ובוודאי בתביעות עבודה, נמדד בחודשים ארוכים ולעיתים בשנים. ההמתנה הזאת אינה שוות ערך עבור שני הצדדים: יש מי שיכול להרשות לעצמו לחכות בנוחות, ויש מי שכל חודש נוסף שוחק את כיסו, את ראיותיו ואת כוחותיו הנפשיים. הטענה המרכזית של ראש הפרק היא שהפער בין הזמן התרבותי לזמן המוסדי אינו עניין אסתטי בלבד, אלא פער רב השלכות המעצב ציפיות, החלטות ויחסי כוח בין בעלי הדין. מי שלמד מן המסך שצדק מגיע מהר, חווה את ההמתנה הממשית לא כמהלכו הרגיל של הליך תקין אלא כהפרה של ההבטחה המשפטית עצמה. לביסוס הטענה נשען הפרק על שלושה מקורות מן העשור האחרון: סקירה עדכנית של מחקר התודעה המשפטית, מחקר ישראלי על עיתונות המשפט בעידן המקוון, ומחקר אמפירי ישראלי על העומס השיפוטי ועל דרכי צמצומו. שילובם יאפשר לבחון את הזמן המשפטי כזירה שנפגשים בה תרבות, מוסדות וכוח, ולהכין את הקרקע למענה על שאלת המחקר.</w:t>
      </w:r>
    </w:p>
    <w:p>
      <w:pPr>
        <w:bidi/>
        <w:spacing w:after="120" w:line="360" w:lineRule="auto"/>
        <w:jc w:val="both"/>
      </w:pPr>
      <w:r>
        <w:rPr>
          <w:rFonts w:ascii="Times New Roman" w:cs="David" w:eastAsia="David" w:hAnsi="Times New Roman"/>
          <w:b w:val="false"/>
          <w:i w:val="false"/>
          <w:sz w:val="24"/>
          <w:szCs w:val="24"/>
          <w:rtl/>
        </w:rPr>
        <w:t xml:space="preserve">צ'ואה ואנגל (Chua &amp; Engel, 2019) סוקרים את מחקר התודעה המשפטית, התחום הבוחן כיצד אנשים רגילים תופסים את החוק וכיצד הם מחליטים אם לפנות אליו. הסקירה ממפה שלוש אסכולות מחקר, העוסקות בזהות, בהגמוניה ובגיוס המשפט, וכולן יוצאות מהנחה משותפת: היחס אל המשפט אינו נקבע רק על ידי תוכן הדין, אלא על ידי אמונות, רגשות וציפיות שנרכשים בחיי היומיום ובתרבות. ממצא מרכזי בספרות המסוקרת הוא שרוב הנפגעים כלל אינם מגייסים את המשפט, בין השאר משום שההליך נתפס כיקר, כמתיש וכארוך. הזמן הצפוי של ההליך פועל אפוא כמחסום עוד לפני שההליך התחיל, והחוויה בתוכו מעצבת מחדש את התודעה כלפי המערכת. חשובה לענייננו גם התובנה שהתודעה המשפטית אינה עמדה קבועה אלא תהליך, שמשתנה ככל שהאדם מתקדם בהליך ופוגש את פערי הזמן והכוח שבו. ההמתנה, במילים אחרות, אינה רק חוויה של מי שתבע, אלא שיקול מכריע עבור מי ששוקל לתבוע.</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שניהם מן ההקשר הישראלי, ממקמים את התודעה הזאת בין שני קטבים: התיווך התקשורתי והמציאות המוסדית. פלג (2022) ראיינה את עיתונאי המשפט המובילים בישראל ומצאה שבעידן המקוון נשחקות סמכותם ויכולתם לסקר את ההליך המשפטי לעומק, והסיקור נעשה מהיר, תחרותי ומרוכז ברגעי שיא. התוצאה היא שהציבור פוגש מערכת איטית ומורכבת דרך תיווך שהולך ומתקצר, וכך מעמיק הפער בין הזמן המשפטי הממשי לבין הזמן התקשורתי שבו הוא מסופר. נדיב (2023) מציגה את הצד המוסדי במחקר אמפירי על בתי המשפט בישראל, שבו העומס השיפוטי מתואר כבעיה מבנית המאריכה הליכים, וההתמקצעות השיפוטית נבחנת ככלי אפשרי לקיצורם. מהשוואת המקורות עולה סימטריה מעניינת: התקשורת מקצרת את הסיפור, והמערכת מחפשת דרכים לקצר את ההליך, ושתיהן מגיבות לאותה מצוקה. אלא שכל עוד הקיצור התקשורתי מקדים את הקיצור המוסדי, הצרכן התרבותי ממשיך לקבל סיפורים מהירים על מערכת איטית. הפער בין שני הזמנים הוא בדיוק המרחב שבו חי בעל הדין הממתין.</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שהזמן המשפטי מחלק כוח: הוא מרתיע תובעים פוטנציאליים מראש, שוחק את מי שבכל זאת תבע, ומשרת בשיטתיות את הצד שיכול להמתין. התרבות הפופולרית, המציגה צדק מיידי ומספק, מסתירה את המנגנון הזה מעיני צרכניה ומשאירה אותם לא מוכנים למפגש עימו. המחקר המוסדי, מנגד, מלמד שההתמשכות ניתנת למדידה, להשוואה ולשינוי, ולכן היא עניין של מדיניות ולא גזירת גורל. כך נחשף פער שיטתי בין הציפייה שההליך מייצר לבין החוויה שהוא מספק, פער שכל מתדיין מגלה לבדו וברגע הפגיע ביותר. ראש פרק זה חותם את סקירת הספרות, ולכן הוא מוביל ישירות אל שאלת המחקר של העבודה: כיצד משתקף הפער בין הבניית "עשיית הצדק" בתרבות הפופולרית לבין מציאות הגבייה ויחסי הכוח בתביעות עבודה? הכלים שנפרשו בשלושת ראשי הפרקים ישמשו לענות עליה באמצעות ניתוח מקרה הבוחן האישי.</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נדיב, נ' (2023). האם התמקצעות שיפוטית חשובה? התמקצעות ועומס בבתי המשפט המחוזיים. </w:t>
      </w:r>
      <w:r>
        <w:rPr>
          <w:rFonts w:ascii="Times New Roman" w:cs="David" w:eastAsia="David" w:hAnsi="Times New Roman"/>
          <w:b w:val="false"/>
          <w:i/>
          <w:iCs/>
          <w:sz w:val="24"/>
          <w:szCs w:val="24"/>
          <w:rtl/>
        </w:rPr>
        <w:t xml:space="preserve">משפט ועסקים, כז</w:t>
      </w:r>
      <w:r>
        <w:rPr>
          <w:rFonts w:ascii="Times New Roman" w:cs="David" w:eastAsia="David" w:hAnsi="Times New Roman"/>
          <w:b w:val="false"/>
          <w:i w:val="false"/>
          <w:sz w:val="24"/>
          <w:szCs w:val="24"/>
          <w:rtl/>
        </w:rPr>
        <w:t xml:space="preserve">, 87. זמין במאגר המשפטי נבו.</w:t>
      </w:r>
    </w:p>
    <w:p>
      <w:pPr>
        <w:bidi w:val="false"/>
        <w:spacing w:after="180" w:line="360" w:lineRule="auto"/>
        <w:ind w:left="709"/>
        <w:jc w:val="left"/>
      </w:pPr>
      <w:hyperlink w:history="1" r:id="rIdjwulv86z-lw_tjemxam1s">
        <w:r>
          <w:rPr>
            <w:rStyle w:val="Hyperlink"/>
            <w:rFonts w:ascii="Times New Roman" w:cs="Times New Roman" w:eastAsia="Times New Roman" w:hAnsi="Times New Roman"/>
            <w:sz w:val="22"/>
            <w:szCs w:val="22"/>
          </w:rPr>
          <w:t xml:space="preserve">https://www.runi.ac.il/media/jikgidv4/nadiv.pdf</w:t>
        </w:r>
      </w:hyperlink>
    </w:p>
    <w:p>
      <w:pPr>
        <w:bidi/>
        <w:spacing w:after="180" w:line="360" w:lineRule="auto"/>
        <w:ind w:left="709" w:hanging="709"/>
        <w:jc w:val="start"/>
      </w:pPr>
      <w:r>
        <w:rPr>
          <w:rFonts w:ascii="Times New Roman" w:cs="David" w:eastAsia="David" w:hAnsi="Times New Roman"/>
          <w:b w:val="false"/>
          <w:i w:val="false"/>
          <w:sz w:val="24"/>
          <w:szCs w:val="24"/>
          <w:rtl/>
        </w:rPr>
        <w:t xml:space="preserve">פלג, ע' (2022). המלכוד של עיתונאי המשפט בישראל בעידן המקוון. </w:t>
      </w:r>
      <w:r>
        <w:rPr>
          <w:rFonts w:ascii="Times New Roman" w:cs="David" w:eastAsia="David" w:hAnsi="Times New Roman"/>
          <w:b w:val="false"/>
          <w:i/>
          <w:iCs/>
          <w:sz w:val="24"/>
          <w:szCs w:val="24"/>
          <w:rtl/>
        </w:rPr>
        <w:t xml:space="preserve">מסגרות מדיה, 21</w:t>
      </w:r>
      <w:r>
        <w:rPr>
          <w:rFonts w:ascii="Times New Roman" w:cs="David" w:eastAsia="David" w:hAnsi="Times New Roman"/>
          <w:b w:val="false"/>
          <w:i w:val="false"/>
          <w:sz w:val="24"/>
          <w:szCs w:val="24"/>
          <w:rtl/>
        </w:rPr>
        <w:t xml:space="preserve">, 68-99.</w:t>
      </w:r>
    </w:p>
    <w:p>
      <w:pPr>
        <w:bidi w:val="false"/>
        <w:spacing w:after="180" w:line="360" w:lineRule="auto"/>
        <w:ind w:left="709"/>
        <w:jc w:val="left"/>
      </w:pPr>
      <w:hyperlink w:history="1" r:id="rId-aydhceimkvut1r_onafw">
        <w:r>
          <w:rPr>
            <w:rStyle w:val="Hyperlink"/>
            <w:rFonts w:ascii="Times New Roman" w:cs="Times New Roman" w:eastAsia="Times New Roman" w:hAnsi="Times New Roman"/>
            <w:sz w:val="22"/>
            <w:szCs w:val="22"/>
          </w:rPr>
          <w:t xml:space="preserve">https://mediaframes.sapir.ac.il/wp-content/uploads/2022/02/Journalist.pdf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Chua, L. J., &amp; Engel, D. M. (2019). Legal consciousness reconsidered. </w:t>
      </w:r>
      <w:r>
        <w:rPr>
          <w:rFonts w:ascii="Times New Roman" w:cs="Times New Roman" w:eastAsia="Times New Roman" w:hAnsi="Times New Roman"/>
          <w:b w:val="false"/>
          <w:i/>
          <w:iCs/>
          <w:sz w:val="24"/>
          <w:szCs w:val="24"/>
          <w:rtl w:val="false"/>
        </w:rPr>
        <w:t xml:space="preserve">Annual Review of Law and Social Science, 15</w:t>
      </w:r>
      <w:r>
        <w:rPr>
          <w:rFonts w:ascii="Times New Roman" w:cs="Times New Roman" w:eastAsia="Times New Roman" w:hAnsi="Times New Roman"/>
          <w:b w:val="false"/>
          <w:i w:val="false"/>
          <w:sz w:val="24"/>
          <w:szCs w:val="24"/>
          <w:rtl w:val="false"/>
        </w:rPr>
        <w:t xml:space="preserve">, 335-353.</w:t>
      </w:r>
    </w:p>
    <w:p>
      <w:pPr>
        <w:bidi w:val="false"/>
        <w:spacing w:after="180" w:line="360" w:lineRule="auto"/>
        <w:ind w:left="709"/>
        <w:jc w:val="left"/>
      </w:pPr>
      <w:hyperlink w:history="1" r:id="rIdftrgclx5hb0vcb5siodot">
        <w:r>
          <w:rPr>
            <w:rStyle w:val="Hyperlink"/>
            <w:rFonts w:ascii="Times New Roman" w:cs="Times New Roman" w:eastAsia="Times New Roman" w:hAnsi="Times New Roman"/>
            <w:sz w:val="22"/>
            <w:szCs w:val="22"/>
          </w:rPr>
          <w:t xml:space="preserve">https://digitalcommons.law.buffalo.edu/journal_articles/966/</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Chua &amp; Engel (2019), עמ' 335-338 (תקציר, הגדרת התודעה המשפטית ושלוש האסכולות)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פלג (2022), עמ' 68-71 (תקציר ומבוא)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נדיב (2023), עמודי הפתיחה והתקציר</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x1hvp84y3axmrxuvadntf" Type="http://schemas.openxmlformats.org/officeDocument/2006/relationships/hyperlink" Target="https://digitalcommons.law.buffalo.edu/journal_articles/966/" TargetMode="External"/><Relationship Id="rId5mve5e0f-dhdz7-etnfkh" Type="http://schemas.openxmlformats.org/officeDocument/2006/relationships/hyperlink" Target="https://mediaframes.sapir.ac.il/wp-content/uploads/2022/02/Journalist.pdf" TargetMode="External"/><Relationship Id="rId7m3b5mxeqh2e9j8-jzvsi" Type="http://schemas.openxmlformats.org/officeDocument/2006/relationships/hyperlink" Target="https://www.runi.ac.il/media/jikgidv4/nadiv.pdf" TargetMode="External"/><Relationship Id="rIdjwulv86z-lw_tjemxam1s" Type="http://schemas.openxmlformats.org/officeDocument/2006/relationships/hyperlink" Target="https://www.runi.ac.il/media/jikgidv4/nadiv.pdf" TargetMode="External"/><Relationship Id="rId-aydhceimkvut1r_onafw" Type="http://schemas.openxmlformats.org/officeDocument/2006/relationships/hyperlink" Target="https://mediaframes.sapir.ac.il/wp-content/uploads/2022/02/Journalist.pdf" TargetMode="External"/><Relationship Id="rIdftrgclx5hb0vcb5siodot" Type="http://schemas.openxmlformats.org/officeDocument/2006/relationships/hyperlink" Target="https://digitalcommons.law.buffalo.edu/journal_articles/966/" TargetMode="External"/><Relationship Id="rId9" Type="http://schemas.openxmlformats.org/officeDocument/2006/relationships/image" Target="media/51dc57ded583ad81ca9899e99389b9633b76c15b.jpg"/><Relationship Id="rId10" Type="http://schemas.openxmlformats.org/officeDocument/2006/relationships/image" Target="media/a245011b1de7e69e0939750b61b0d109cc8a96d3.jpg"/><Relationship Id="rId11" Type="http://schemas.openxmlformats.org/officeDocument/2006/relationships/image" Target="media/a2e8b26535dcc90c298415b8fcb2880e6cea54c8.jpg"/><Relationship Id="rId12" Type="http://schemas.openxmlformats.org/officeDocument/2006/relationships/image" Target="media/9238bb3d39ce3c02cd0844801be8541c3437ea31.jpg"/><Relationship Id="rId13" Type="http://schemas.openxmlformats.org/officeDocument/2006/relationships/image" Target="media/b55333950fea03be4ec0199113cddf5891d7b1a4.jpg"/><Relationship Id="rId14" Type="http://schemas.openxmlformats.org/officeDocument/2006/relationships/image" Target="media/4f8ee223f6dc5c235ecd4460dca9a4ba9043ae80.jpg"/><Relationship Id="rId15" Type="http://schemas.openxmlformats.org/officeDocument/2006/relationships/image" Target="media/2b56f389a8a519c8b7facdccdba717ea46bfb446.jpg"/><Relationship Id="rId16" Type="http://schemas.openxmlformats.org/officeDocument/2006/relationships/image" Target="media/51a4f01cc54f83a7b4197944db04963c342c7169.jpg"/><Relationship Id="rId17" Type="http://schemas.openxmlformats.org/officeDocument/2006/relationships/image" Target="media/9301f174cb270f98a079e08168a6ac7cd790e5cf.jpg"/><Relationship Id="rId18" Type="http://schemas.openxmlformats.org/officeDocument/2006/relationships/image" Target="media/4a7acd4a998032d67475fe626712e4f74ec83d70.jpg"/><Relationship Id="rId19" Type="http://schemas.openxmlformats.org/officeDocument/2006/relationships/image" Target="media/30289fb7ec88ec8ab70a2a4706db1d9275cafdec.jpg"/><Relationship Id="rId20" Type="http://schemas.openxmlformats.org/officeDocument/2006/relationships/image" Target="media/33c85111cf7cb6dbc9775bc49c738e85d60a2c00.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ליני ______________</dc:creator>
  <cp:lastModifiedBy>Un-named</cp:lastModifiedBy>
  <cp:revision>1</cp:revision>
  <dcterms:created xsi:type="dcterms:W3CDTF">2026-08-01T11:42:59.689Z</dcterms:created>
  <dcterms:modified xsi:type="dcterms:W3CDTF">2026-08-01T11:42:59.689Z</dcterms:modified>
</cp:coreProperties>
</file>

<file path=docProps/custom.xml><?xml version="1.0" encoding="utf-8"?>
<Properties xmlns="http://schemas.openxmlformats.org/officeDocument/2006/custom-properties" xmlns:vt="http://schemas.openxmlformats.org/officeDocument/2006/docPropsVTypes"/>
</file>