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מול בעלי עניין:</w:t>
      </w:r>
    </w:p>
    <w:p>
      <w:pPr>
        <w:jc w:val="center"/>
      </w:pPr>
      <w:r>
        <w:rPr>
          <w:b/>
          <w:bCs/>
          <w:i w:val="0"/>
          <w:noProof/>
          <w:sz w:val="28"/>
          <w:szCs w:val="28"/>
        </w:rPr>
        <w:t>ניתוח שלושה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highlight w:val="yellow"/>
        </w:rPr>
        <w:t>[שם ומשפחה], ת"ז [מספר]</w:t>
      </w:r>
    </w:p>
    <w:p>
      <w:pPr>
        <w:jc w:val="center"/>
      </w:pPr>
      <w:r>
        <w:rPr>
          <w:b w:val="0"/>
          <w:i w:val="0"/>
          <w:noProof/>
          <w:sz w:val="24"/>
          <w:szCs w:val="24"/>
          <w:highlight w:val="yellow"/>
        </w:rPr>
        <w:t>[שם ומשפחה], ת"ז [מספר]</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[תאריך]</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כ־630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רונית (שם בדוי)</w:t>
            </w:r>
          </w:p>
        </w:tc>
        <w:tc>
          <w:tcPr>
            <w:tcW w:type="dxa" w:w="3061"/>
          </w:tcPr>
          <w:p>
            <w:pPr>
              <w:spacing w:line="276" w:lineRule="auto" w:after="40"/>
              <w:jc w:val="right"/>
            </w:pPr>
            <w:r>
              <w:rPr>
                <w:b w:val="0"/>
                <w:i w:val="0"/>
                <w:noProof/>
                <w:sz w:val="22"/>
                <w:szCs w:val="22"/>
              </w:rPr>
              <w:t>מנהלת חטיבת ביניים ממלכתית בבאר שבע, כ־700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כ־1,100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bl>
    <w:p/>
    <w:p>
      <w:r>
        <w:rPr>
          <w:b w:val="0"/>
          <w:i w:val="0"/>
          <w:noProof/>
          <w:highlight w:val="yellow"/>
        </w:rPr>
        <w:t>[לשלישייה המחוון דורש ארבעה ראיונות. יש להוסיף ריאיון רביעי עם מנהל/ת, לעדכן את הטבלה ואת הנספחים, ולשלב את המקרים שלו בניתוח.]</w:t>
      </w:r>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noProof/>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(רונית)</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(רונית)</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בסופה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כפי שמצוטט אצל הוכמן, 2026). דילמת האסיר, שהוצגה בקורס, מראה מצב שבו התנהגות רציונלית לחלוטין מנקודת המבט של כל צד מובילה לתוצאה שאינה אופטימלית לשניהם (הוכמן, 2026). הקורס הדגיש גם ממצא נוסף: אנשים אינם פועלים רק משיקולים רציונליים אלא גם משיקולי הוגנות, ודוחים הצעה שנתפסת בעיניהם כמעליבה גם כאשר הדחייה עולה להם (הוכמן, 2026).</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(הוכמן, 2026).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רונית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noProof/>
        </w:rPr>
        <w:t>מבחינת התוצאה זה בדיוק מה שרציתי, ומבחינת המילים זה מה שהם היו צריכים.</w:t>
      </w:r>
    </w:p>
    <w:p>
      <w:r>
        <w:rPr>
          <w:b w:val="0"/>
          <w:i w:val="0"/>
          <w:noProof/>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רונית מול צוות המורים על ההוראה בזמן המלחמה</w:t>
      </w:r>
    </w:p>
    <w:p>
      <w:r>
        <w:rPr>
          <w:b w:val="0"/>
          <w:i w:val="0"/>
          <w:noProof/>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את המקרים דרך שתי תיאוריות נוספות. דוגמה 7 היא מקרה נוסף מהראיונות, ודוגמאות 8 עד 10 בוחנות מחדש מקרים שתוארו קודם מזווית תיאורטית אחרת.</w:t>
      </w:r>
    </w:p>
    <w:p>
      <w:pPr>
        <w:pStyle w:val="Heading3"/>
      </w:pPr>
      <w:r>
        <w:rPr>
          <w:noProof/>
        </w:rPr>
        <w:t>דוגמה 7: רונית מול מורים בתקופת מחסור במורים</w:t>
      </w:r>
    </w:p>
    <w:p>
      <w:r>
        <w:rPr>
          <w:b w:val="0"/>
          <w:i w:val="0"/>
          <w:noProof/>
        </w:rPr>
        <w:t>רונית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רונית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רונית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(הוכמן, 2026).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(הוכמן, 2026). רונית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סמיר, ארבעה בתי ספר ו"צדק" של ראש העיר</w:t>
      </w:r>
    </w:p>
    <w:p>
      <w:r>
        <w:rPr>
          <w:b w:val="0"/>
          <w:i w:val="0"/>
          <w:noProof/>
        </w:rPr>
        <w:t>במקרה של בניית הכיתות (דוגמה 2) התחרו ארבעה בתי ספר על אותו תקציב. ראש העיר לא נקב במספר בפגישה הראשונה, ורק אמר שהוא "רוצה צדק בין בתי הספר". סמיר זיהה שאחד הקווים האדומים של העירייה הוא שאף בית ספר לא ייצא בלי כלום.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ראש העיר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חלוקה לפי פוליטיקה ולא לפי צרכים</w:t>
            </w:r>
          </w:p>
        </w:tc>
        <w:tc>
          <w:tcPr>
            <w:tcW w:type="dxa" w:w="3685"/>
          </w:tcPr>
          <w:p>
            <w:pPr>
              <w:spacing w:line="276" w:lineRule="auto" w:after="40"/>
              <w:jc w:val="right"/>
            </w:pPr>
            <w:r>
              <w:rPr>
                <w:b w:val="0"/>
                <w:i w:val="0"/>
                <w:noProof/>
                <w:sz w:val="22"/>
                <w:szCs w:val="22"/>
              </w:rPr>
              <w:t>ארבעה מנהלים וארבעה ועדי הורים שעלולים להתלונן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שש כיתות לבית ספרו</w:t>
            </w:r>
          </w:p>
        </w:tc>
        <w:tc>
          <w:tcPr>
            <w:tcW w:type="dxa" w:w="3685"/>
          </w:tcPr>
          <w:p>
            <w:pPr>
              <w:spacing w:line="276" w:lineRule="auto" w:after="40"/>
              <w:jc w:val="right"/>
            </w:pPr>
            <w:r>
              <w:rPr>
                <w:b w:val="0"/>
                <w:i w:val="0"/>
                <w:noProof/>
                <w:sz w:val="22"/>
                <w:szCs w:val="22"/>
              </w:rPr>
              <w:t>"צדק": חלוקה בין כל בתי הספר</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להוציא את הילדים מהקרוונים</w:t>
            </w:r>
          </w:p>
        </w:tc>
        <w:tc>
          <w:tcPr>
            <w:tcW w:type="dxa" w:w="3685"/>
          </w:tcPr>
          <w:p>
            <w:pPr>
              <w:spacing w:line="276" w:lineRule="auto" w:after="40"/>
              <w:jc w:val="right"/>
            </w:pPr>
            <w:r>
              <w:rPr>
                <w:b w:val="0"/>
                <w:i w:val="0"/>
                <w:noProof/>
                <w:sz w:val="22"/>
                <w:szCs w:val="22"/>
              </w:rPr>
              <w:t>שקט ציבורי, מניעת טענות על קיפוח</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w:t>
            </w:r>
          </w:p>
        </w:tc>
        <w:tc>
          <w:tcPr>
            <w:tcW w:type="dxa" w:w="3685"/>
          </w:tcPr>
          <w:p>
            <w:pPr>
              <w:spacing w:line="276" w:lineRule="auto" w:after="40"/>
              <w:jc w:val="right"/>
            </w:pPr>
            <w:r>
              <w:rPr>
                <w:b w:val="0"/>
                <w:i w:val="0"/>
                <w:noProof/>
                <w:sz w:val="22"/>
                <w:szCs w:val="22"/>
              </w:rPr>
              <w:t>לחלק את התקציב לבתי ספר אחרים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משלוש כיתות</w:t>
            </w:r>
          </w:p>
        </w:tc>
        <w:tc>
          <w:tcPr>
            <w:tcW w:type="dxa" w:w="3685"/>
          </w:tcPr>
          <w:p>
            <w:pPr>
              <w:spacing w:line="276" w:lineRule="auto" w:after="40"/>
              <w:jc w:val="right"/>
            </w:pPr>
            <w:r>
              <w:rPr>
                <w:b w:val="0"/>
                <w:i w:val="0"/>
                <w:noProof/>
                <w:sz w:val="22"/>
                <w:szCs w:val="22"/>
              </w:rPr>
              <w:t>אף בית ספר לא יוצא בלי כלום</w:t>
            </w:r>
          </w:p>
        </w:tc>
      </w:tr>
    </w:tbl>
    <w:p/>
    <w:p>
      <w:r>
        <w:rPr>
          <w:b/>
          <w:bCs/>
          <w:i w:val="0"/>
          <w:noProof/>
        </w:rPr>
        <w:t>ZOPA:</w:t>
      </w:r>
      <w:r>
        <w:rPr>
          <w:b w:val="0"/>
          <w:i w:val="0"/>
          <w:noProof/>
        </w:rPr>
        <w:t xml:space="preserve"> בין שלוש לחמש כיתות לבית הספר של סמיר, כך שגם שאר בתי הספר יקבלו חלק. ההסכם, ארבע כיתות, נמצא בתוך הטווח.</w:t>
      </w:r>
    </w:p>
    <w:p>
      <w:r>
        <w:rPr>
          <w:b/>
          <w:bCs/>
          <w:i w:val="0"/>
          <w:noProof/>
        </w:rPr>
        <w:t>ניתוח:</w:t>
      </w:r>
      <w:r>
        <w:rPr>
          <w:b w:val="0"/>
          <w:i w:val="0"/>
          <w:noProof/>
        </w:rPr>
        <w:t xml:space="preserve"> מנקודת המבט של תורת המשחקים, ארבעת המנהלים נמצאים במשחק שבו כל אחד מגיש את הדרישה המקסימלית. אם כולם מחמירים, ראש העיר יבחר בחלוקה שווה ו"צודקת" שלא תפתור אף בעיה, תוצאה גרועה לכל השחקנים. סמיר שבר את הדפוס כשהציע פתרון שאינו פוגע בשחקנים האחרים: ארבע כיתות במקום שש, ופתרון זמני ממקור חיצוני שלא בא על חשבון בתי ספר אחרים. שיקול ההוגנות הוא כאן חלק מהמשחק עצמו: ראש העיר אינו מחפש את החלוקה היעילה ביותר אלא את זו שתיתפס כהוגנת (הוכמן, 2026). סמיר הבין זאת ונתן למנהל מחלקת החינוך להציג את ההסכם כהצעה שלו.</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(הוכמן, 2026).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סמיר מול ועד ההורים, עוגנים וחשדנות</w:t>
      </w:r>
    </w:p>
    <w:p>
      <w:r>
        <w:rPr>
          <w:b w:val="0"/>
          <w:i w:val="0"/>
          <w:noProof/>
        </w:rPr>
        <w:t>במשא ומתן על תוכנית ההעשרה (דוגמה 3) פתח סמיר במחיר של 280 ש"ח, וועד ההורים דרש 150 ש"ח לכל היותר, המחיר של החוגים במתנ"ס העירוני. בפגישה הראשונה עלתה גם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להתנגד"</w:t>
            </w:r>
          </w:p>
        </w:tc>
        <w:tc>
          <w:tcPr>
            <w:tcW w:type="dxa" w:w="3685"/>
          </w:tcPr>
          <w:p>
            <w:pPr>
              <w:spacing w:line="276" w:lineRule="auto" w:after="40"/>
              <w:jc w:val="right"/>
            </w:pPr>
            <w:r>
              <w:rPr>
                <w:b w:val="0"/>
                <w:i w:val="0"/>
                <w:noProof/>
                <w:sz w:val="22"/>
                <w:szCs w:val="22"/>
              </w:rPr>
              <w:t>"מנהל שמחליט לבד", אולי עם אינטרס אישי</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280 ש"ח, החברה שנבחרה</w:t>
            </w:r>
          </w:p>
        </w:tc>
        <w:tc>
          <w:tcPr>
            <w:tcW w:type="dxa" w:w="3685"/>
          </w:tcPr>
          <w:p>
            <w:pPr>
              <w:spacing w:line="276" w:lineRule="auto" w:after="40"/>
              <w:jc w:val="right"/>
            </w:pPr>
            <w:r>
              <w:rPr>
                <w:b w:val="0"/>
                <w:i w:val="0"/>
                <w:noProof/>
                <w:sz w:val="22"/>
                <w:szCs w:val="22"/>
              </w:rPr>
              <w:t>150 ש"ח, הוועד בוחר</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w:t>
            </w:r>
          </w:p>
        </w:tc>
        <w:tc>
          <w:tcPr>
            <w:tcW w:type="dxa" w:w="3685"/>
          </w:tcPr>
          <w:p>
            <w:pPr>
              <w:spacing w:line="276" w:lineRule="auto" w:after="40"/>
              <w:jc w:val="right"/>
            </w:pPr>
            <w:r>
              <w:rPr>
                <w:b w:val="0"/>
                <w:i w:val="0"/>
                <w:noProof/>
                <w:sz w:val="22"/>
                <w:szCs w:val="22"/>
              </w:rPr>
              <w:t>שוויון בין הילדים, כבוד הוועד</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תוכנית חינמית של המשרד</w:t>
            </w:r>
          </w:p>
        </w:tc>
        <w:tc>
          <w:tcPr>
            <w:tcW w:type="dxa" w:w="3685"/>
          </w:tcPr>
          <w:p>
            <w:pPr>
              <w:spacing w:line="276" w:lineRule="auto" w:after="40"/>
              <w:jc w:val="right"/>
            </w:pPr>
            <w:r>
              <w:rPr>
                <w:b w:val="0"/>
                <w:i w:val="0"/>
                <w:noProof/>
                <w:sz w:val="22"/>
                <w:szCs w:val="22"/>
              </w:rPr>
              <w:t>להורות להורים לא להירשם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מ־200 ש"ח</w:t>
            </w:r>
          </w:p>
        </w:tc>
        <w:tc>
          <w:tcPr>
            <w:tcW w:type="dxa" w:w="3685"/>
          </w:tcPr>
          <w:p>
            <w:pPr>
              <w:spacing w:line="276" w:lineRule="auto" w:after="40"/>
              <w:jc w:val="right"/>
            </w:pPr>
            <w:r>
              <w:rPr>
                <w:b w:val="0"/>
                <w:i w:val="0"/>
                <w:noProof/>
                <w:sz w:val="22"/>
                <w:szCs w:val="22"/>
              </w:rPr>
              <w:t>אף ילד לא נשאר בחוץ בגלל כסף</w:t>
            </w:r>
          </w:p>
        </w:tc>
      </w:tr>
    </w:tbl>
    <w:p/>
    <w:p>
      <w:r>
        <w:rPr>
          <w:b/>
          <w:bCs/>
          <w:i w:val="0"/>
          <w:noProof/>
        </w:rPr>
        <w:t>ZOPA:</w:t>
      </w:r>
      <w:r>
        <w:rPr>
          <w:b w:val="0"/>
          <w:i w:val="0"/>
          <w:noProof/>
        </w:rPr>
        <w:t xml:space="preserve"> בין 200 ל־230 ש"ח עם מלגות. ההסכם נסגר על 210 ש"ח ושמונה עשרה מלגות.</w:t>
      </w:r>
    </w:p>
    <w:p>
      <w:r>
        <w:rPr>
          <w:b/>
          <w:bCs/>
          <w:i w:val="0"/>
          <w:noProof/>
        </w:rPr>
        <w:t>ניתוח:</w:t>
      </w:r>
      <w:r>
        <w:rPr>
          <w:b w:val="0"/>
          <w:i w:val="0"/>
          <w:noProof/>
        </w:rPr>
        <w:t xml:space="preserve"> לשני הצדדים היו עוגנים. העוגן של סמיר היה המחיר שהחברה ביקשה, והעוגן של הוועד היה מחיר המתנ"ס, שלא נלקח מהאוויר. בשלב הראשון כל צד נתקע בעוגן שלו, כפי שצפוי לפי הספרות על הצעות ראשונות (Lipp et al., 2023). סמיר שבר את העיגון כשהביא השוואת מחירים מכמה בתי ספר, שהראתה שמחיר של 150 ש"ח "לא קיים בשום מקום", והוועד שבר את העיגון של סמיר כשהביא את נתוני הרווחה. ההאשמה בדבר אינטרס אישי מדגימה ייחוס כוונות רעות. סמיר לא ענה עליה בהתגוננות, אלא בהודאה שטעה בסדר הפעולות, וזה נטרל אותה. כפי שהוא עצמו אומר, "ההאשמה, גם כשהיא לא הוגנת, היא לפעמים דרך של הצד השני לומר שהוא לא הרגיש שותף".</w:t>
      </w:r>
    </w:p>
    <w:p>
      <w:r>
        <w:rPr>
          <w:noProof/>
        </w:rPr>
        <w:br w:type="page"/>
      </w:r>
    </w:p>
    <w:p>
      <w:pPr>
        <w:pStyle w:val="Heading1"/>
      </w:pPr>
      <w:r>
        <w:rPr>
          <w:noProof/>
        </w:rPr>
        <w:t>התיאוריות המאפיינות את ניהול המשא ומתן של המנהלים</w:t>
      </w:r>
    </w:p>
    <w:p>
      <w:r>
        <w:rPr>
          <w:b w:val="0"/>
          <w:i w:val="0"/>
          <w:noProof/>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noProof/>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ולח'אלד לבזבז חודשים על ויכוח על כסף ועל אשמה (הוכמן, 2026).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שרונית עשתה כשבנתה כללים גלויים לשיבוץ.</w:t>
      </w:r>
    </w:p>
    <w:p>
      <w:r>
        <w:rPr>
          <w:b w:val="0"/>
          <w:i w:val="0"/>
          <w:noProof/>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רונית מול המחסור במורים</w:t>
      </w:r>
    </w:p>
    <w:p>
      <w:r>
        <w:rPr>
          <w:b w:val="0"/>
          <w:i w:val="0"/>
          <w:noProof/>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שלושה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רונית וח'אלד אמרו שהנתונים היו "הנשק החזק ביותר".</w:t>
      </w:r>
    </w:p>
    <w:p>
      <w:r>
        <w:rPr>
          <w:b/>
          <w:bCs/>
          <w:i w:val="0"/>
          <w:noProof/>
        </w:rPr>
        <w:t>המלצה 3: לזהות מראש מי מאשר ומי יכול לפוצץ.</w:t>
      </w:r>
      <w:r>
        <w:rPr>
          <w:b w:val="0"/>
          <w:i w:val="0"/>
          <w:noProof/>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שרונית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רונית (שם בדוי)</w:t>
      </w:r>
    </w:p>
    <w:p>
      <w:r>
        <w:rPr>
          <w:b w:val="0"/>
          <w:i w:val="0"/>
          <w:noProof/>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