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360" w:lineRule="auto" w:after="0"/>
        <w:jc w:val="center"/>
      </w:pPr>
      <w:r>
        <w:rPr>
          <w:rFonts w:ascii="David" w:hAnsi="David" w:cs="David"/>
          <w:b w:val="0"/>
          <w:i w:val="0"/>
          <w:sz w:val="24"/>
          <w:szCs w:val="24"/>
          <w:rtl w:val="1"/>
        </w:rPr>
      </w:r>
    </w:p>
    <w:p>
      <w:pPr>
        <w:spacing w:after="200"/>
        <w:jc w:val="center"/>
      </w:pPr>
      <w:r>
        <w:drawing>
          <wp:inline xmlns:a="http://schemas.openxmlformats.org/drawingml/2006/main" xmlns:pic="http://schemas.openxmlformats.org/drawingml/2006/picture">
            <wp:extent cx="1554480" cy="1554480"/>
            <wp:docPr id="1" name="Picture 1"/>
            <wp:cNvGraphicFramePr>
              <a:graphicFrameLocks noChangeAspect="1"/>
            </wp:cNvGraphicFramePr>
            <a:graphic>
              <a:graphicData uri="http://schemas.openxmlformats.org/drawingml/2006/picture">
                <pic:pic>
                  <pic:nvPicPr>
                    <pic:cNvPr id="0" name="4ea60982-IMG_7642.jpeg"/>
                    <pic:cNvPicPr/>
                  </pic:nvPicPr>
                  <pic:blipFill>
                    <a:blip r:embed="rId9"/>
                    <a:stretch>
                      <a:fillRect/>
                    </a:stretch>
                  </pic:blipFill>
                  <pic:spPr>
                    <a:xfrm>
                      <a:off x="0" y="0"/>
                      <a:ext cx="1554480" cy="1554480"/>
                    </a:xfrm>
                    <a:prstGeom prst="rect"/>
                  </pic:spPr>
                </pic:pic>
              </a:graphicData>
            </a:graphic>
          </wp:inline>
        </w:drawing>
      </w:r>
    </w:p>
    <w:p>
      <w:pPr>
        <w:bidi w:val="1"/>
        <w:spacing w:line="360" w:lineRule="auto" w:after="120"/>
        <w:jc w:val="center"/>
      </w:pPr>
      <w:r>
        <w:rPr>
          <w:rFonts w:ascii="David" w:hAnsi="David" w:cs="David"/>
          <w:b/>
          <w:i w:val="0"/>
          <w:sz w:val="28"/>
          <w:szCs w:val="28"/>
          <w:rtl w:val="1"/>
        </w:rPr>
        <w:t>הקריה האקדמית אונו</w:t>
      </w:r>
    </w:p>
    <w:p>
      <w:pPr>
        <w:bidi w:val="1"/>
        <w:spacing w:line="360" w:lineRule="auto" w:after="120"/>
        <w:jc w:val="center"/>
      </w:pPr>
      <w:r>
        <w:rPr>
          <w:rFonts w:ascii="David" w:hAnsi="David" w:cs="David"/>
          <w:b/>
          <w:i w:val="0"/>
          <w:sz w:val="36"/>
          <w:szCs w:val="36"/>
          <w:rtl w:val="1"/>
        </w:rPr>
        <w:t>מוגבלות וסיכון: לקויות למידה ואוטיזם</w:t>
      </w:r>
    </w:p>
    <w:p>
      <w:pPr>
        <w:bidi w:val="1"/>
        <w:spacing w:line="360" w:lineRule="auto" w:after="480"/>
        <w:jc w:val="center"/>
      </w:pPr>
      <w:r>
        <w:rPr>
          <w:rFonts w:ascii="David" w:hAnsi="David" w:cs="David"/>
          <w:b w:val="0"/>
          <w:i w:val="0"/>
          <w:sz w:val="26"/>
          <w:szCs w:val="26"/>
          <w:rtl w:val="1"/>
        </w:rPr>
        <w:t>מרצה: קרן דרור</w:t>
      </w:r>
    </w:p>
    <w:p>
      <w:pPr>
        <w:bidi w:val="1"/>
        <w:spacing w:line="360" w:lineRule="auto" w:after="960"/>
        <w:jc w:val="center"/>
      </w:pPr>
      <w:r>
        <w:rPr>
          <w:rFonts w:ascii="David" w:hAnsi="David" w:cs="David"/>
          <w:b/>
          <w:i w:val="0"/>
          <w:sz w:val="32"/>
          <w:szCs w:val="32"/>
          <w:rtl w:val="1"/>
        </w:rPr>
        <w:t>יומן מסע: מטלת סיכום</w:t>
      </w:r>
    </w:p>
    <w:p>
      <w:pPr>
        <w:bidi w:val="1"/>
        <w:spacing w:line="360" w:lineRule="auto" w:after="120"/>
        <w:jc w:val="center"/>
      </w:pPr>
      <w:r>
        <w:rPr>
          <w:rFonts w:ascii="David" w:hAnsi="David" w:cs="David"/>
          <w:b w:val="0"/>
          <w:i w:val="0"/>
          <w:sz w:val="26"/>
          <w:szCs w:val="26"/>
          <w:rtl w:val="1"/>
        </w:rPr>
        <w:t>מגישה: הדיר עבד אלהאדי</w:t>
      </w:r>
    </w:p>
    <w:p>
      <w:pPr>
        <w:bidi w:val="1"/>
        <w:spacing w:line="360" w:lineRule="auto" w:after="120"/>
        <w:jc w:val="center"/>
      </w:pPr>
      <w:r>
        <w:rPr>
          <w:rFonts w:ascii="David" w:hAnsi="David" w:cs="David"/>
          <w:b w:val="0"/>
          <w:i w:val="0"/>
          <w:sz w:val="26"/>
          <w:szCs w:val="26"/>
          <w:rtl w:val="1"/>
        </w:rPr>
        <w:t>ת.ז: 322580564</w:t>
      </w:r>
    </w:p>
    <w:p>
      <w:pPr>
        <w:bidi w:val="1"/>
        <w:spacing w:line="360" w:lineRule="auto" w:after="120"/>
        <w:jc w:val="center"/>
      </w:pPr>
      <w:r>
        <w:rPr>
          <w:rFonts w:ascii="David" w:hAnsi="David" w:cs="David"/>
          <w:b w:val="0"/>
          <w:i w:val="0"/>
          <w:sz w:val="26"/>
          <w:szCs w:val="26"/>
          <w:rtl w:val="1"/>
        </w:rPr>
        <w:t>תאריך: יולי 2026</w:t>
      </w:r>
    </w:p>
    <w:p>
      <w:r>
        <w:br w:type="page"/>
      </w:r>
    </w:p>
    <w:p>
      <w:pPr>
        <w:bidi w:val="1"/>
        <w:spacing w:line="360" w:lineRule="auto" w:after="200"/>
        <w:jc w:val="right"/>
      </w:pPr>
      <w:r>
        <w:rPr>
          <w:rFonts w:ascii="David" w:hAnsi="David" w:cs="David"/>
          <w:b/>
          <w:i w:val="0"/>
          <w:sz w:val="28"/>
          <w:szCs w:val="28"/>
          <w:rtl w:val="1"/>
        </w:rPr>
        <w:t>חלק א: מה לקחתי מהקורס</w:t>
      </w:r>
    </w:p>
    <w:p>
      <w:pPr>
        <w:bidi w:val="1"/>
        <w:spacing w:line="360" w:lineRule="auto" w:after="160"/>
        <w:jc w:val="both"/>
      </w:pPr>
      <w:r>
        <w:rPr>
          <w:rFonts w:ascii="David" w:hAnsi="David" w:cs="David"/>
          <w:b w:val="0"/>
          <w:i w:val="0"/>
          <w:sz w:val="24"/>
          <w:szCs w:val="24"/>
          <w:rtl w:val="1"/>
        </w:rPr>
        <w:t>אם אצטרך לומר במשפט אחד מה הקורס הזה עשה לי, זה שהוא לימד אותי להסתכל על סיכון דרך משקפיים מגדריים. עד הקורס חשבתי על מוגבלות כמצב אחד, בלי הבדל בין גבר לאישה. השיעור על פגיעוּת מגדרית שינה לי את זה. הנתונים שקרן הציגה נשארו איתי, שאחת מכל שלוש נשים בעולם חווה אלימות פיזית או מינית במהלך חייה, ושכאשר מוסיפים מוגבלות הסיכון כמעט מוכפל. פתאום הבנתי שאישה עם מוגבלות עומדת בהצטלבות של שני מקורות של פגיעוּת, ולא רק של אחד. הצירוף הזה, של מגדר ומוגבלות יחד, הפך למשקפיים שדרכם אני מסתכלת עכשיו על כל מקרה.</w:t>
      </w:r>
    </w:p>
    <w:p>
      <w:pPr>
        <w:bidi w:val="1"/>
        <w:spacing w:line="360" w:lineRule="auto" w:after="160"/>
        <w:jc w:val="both"/>
      </w:pPr>
      <w:r>
        <w:rPr>
          <w:rFonts w:ascii="David" w:hAnsi="David" w:cs="David"/>
          <w:b w:val="0"/>
          <w:i w:val="0"/>
          <w:sz w:val="24"/>
          <w:szCs w:val="24"/>
          <w:rtl w:val="1"/>
        </w:rPr>
        <w:t>מה שחידש לי במיוחד היה להבין למה זה קורה. זה לא בגלל האישה עצמה, אלא בגלל מבנה של תלות. מי שאמור לתמוך הוא לפעמים גם מי שפוגע, והפחד לאבד את התמיכה, יחד עם בידוד חברתי וחוסר ידע על גבולות ועל זכויות, סוגר על האישה את הדרך לספר. הצירוף הזה יצר בעיניי את מה שקרן כינתה הקורבן ה"שקוף", זאת שהמערכת מתקשה לראות ולכן גם מתקשה להגן עליה. הבנתי שהשקיפות הזאת איננה מקרה, היא תוצאה של סטיגמות שמראש לא מאמינות לאישה עם מוגבלות, ושל עדויות שנוטים לצמצם ולפקפק בהן.</w:t>
      </w:r>
    </w:p>
    <w:p>
      <w:pPr>
        <w:bidi w:val="1"/>
        <w:spacing w:line="360" w:lineRule="auto" w:after="160"/>
        <w:jc w:val="both"/>
      </w:pPr>
      <w:r>
        <w:rPr>
          <w:rFonts w:ascii="David" w:hAnsi="David" w:cs="David"/>
          <w:b w:val="0"/>
          <w:i w:val="0"/>
          <w:sz w:val="24"/>
          <w:szCs w:val="24"/>
          <w:rtl w:val="1"/>
        </w:rPr>
        <w:t>נקודה נוספת שנחרתה בי היא שנערות עם מוגבלות נמצאות בסיכון גבוה עוד יותר. הרצון החזק להשתייך, פערי הכוח מול בני גילן, וחוסר הידע על גבולות ועל זכויות, יוצרים שילוב מסוכן דווקא בגיל שבו כל נערה מחפשת קרבה והכרה. חשבתי כמה פעמים אנחנו ממהרים להגן על נערה כזאת דרך צמצום, אוסרים ומגבילים, במקום לתת לה את הידע שיאפשר לה לשמור על עצמה. שם, בפער הזה, הקורס באמת פגש אותי.</w:t>
      </w:r>
    </w:p>
    <w:p>
      <w:pPr>
        <w:bidi w:val="1"/>
        <w:spacing w:line="360" w:lineRule="auto" w:after="160"/>
        <w:jc w:val="both"/>
      </w:pPr>
      <w:r>
        <w:rPr>
          <w:rFonts w:ascii="David" w:hAnsi="David" w:cs="David"/>
          <w:b w:val="0"/>
          <w:i w:val="0"/>
          <w:sz w:val="24"/>
          <w:szCs w:val="24"/>
          <w:rtl w:val="1"/>
        </w:rPr>
        <w:t>כשעבדנו עם מרים על המצגת "זה הילד שלי" ועל פרשת מעון בני ציון, ראיתי את הרעיון הזה מתגלם. הפגיעה לא צעקה החוצה, היא התרחשה בשקט בתוך מסגרת סגורה, מול אנשים שלא היו להם הכלים או הכוח להישמע. חשבתי הרבה על הנשים הדיירות שם, ועל כמה קל היה להתעלם מהן דווקא משום שהיו תלויות לגמרי במי שהיה אמור לשמור עליהן. המצגת לקחה עבורי את התאוריה מהשקפים והפכה אותה לסיפור של בני אדם.</w:t>
      </w:r>
    </w:p>
    <w:p>
      <w:pPr>
        <w:bidi w:val="1"/>
        <w:spacing w:line="360" w:lineRule="auto" w:after="160"/>
        <w:jc w:val="both"/>
      </w:pPr>
      <w:r>
        <w:rPr>
          <w:rFonts w:ascii="David" w:hAnsi="David" w:cs="David"/>
          <w:b w:val="0"/>
          <w:i w:val="0"/>
          <w:sz w:val="24"/>
          <w:szCs w:val="24"/>
          <w:rtl w:val="1"/>
        </w:rPr>
        <w:t>הקורס פגש אותי גם בבעיה שנראתה לי טכנית והתבררה כמהותית, המחסור בנתונים. נשים וצעירות עם מוגבלות כמעט לא מיוצגות במחקרים, וקשה לבנות מדיניות למי שכמעט לא נספרת. קרן קראה לזה כדור שלג, המחסור בנתונים מוביל למדיניות לא מותאמת, וזו מחזירה את הנשים אל אותה שקיפות שבה התחלנו. אני יוצאת מהקורס עם החלטה פשוטה, לשים לב דווקא למי שקל לפספס, ולזכור שהשתיקה של אישה עם מוגבלות היא לרוב סימן לפער כוחות, לא לכך שהכול בסדר.</w:t>
      </w:r>
    </w:p>
    <w:p>
      <w:r>
        <w:br w:type="page"/>
      </w:r>
    </w:p>
    <w:p>
      <w:pPr>
        <w:bidi w:val="1"/>
        <w:spacing w:line="360" w:lineRule="auto" w:after="200"/>
        <w:jc w:val="right"/>
      </w:pPr>
      <w:r>
        <w:rPr>
          <w:rFonts w:ascii="David" w:hAnsi="David" w:cs="David"/>
          <w:b/>
          <w:i w:val="0"/>
          <w:sz w:val="28"/>
          <w:szCs w:val="28"/>
          <w:rtl w:val="1"/>
        </w:rPr>
        <w:t>חלק ב: העמקה בנושא מרכזי מהקורס</w:t>
      </w:r>
    </w:p>
    <w:p>
      <w:pPr>
        <w:bidi w:val="1"/>
        <w:spacing w:line="360" w:lineRule="auto" w:after="200"/>
        <w:jc w:val="right"/>
      </w:pPr>
      <w:r>
        <w:rPr>
          <w:rFonts w:ascii="David" w:hAnsi="David" w:cs="David"/>
          <w:b/>
          <w:i w:val="0"/>
          <w:sz w:val="26"/>
          <w:szCs w:val="26"/>
          <w:rtl w:val="1"/>
        </w:rPr>
        <w:t>פגיעוּת מגדרית: נשים ונערות עם מוגבלות ומצבי סיכון</w:t>
      </w:r>
    </w:p>
    <w:p>
      <w:pPr>
        <w:bidi w:val="1"/>
        <w:spacing w:line="360" w:lineRule="auto" w:after="160"/>
        <w:jc w:val="both"/>
      </w:pPr>
      <w:r>
        <w:rPr>
          <w:rFonts w:ascii="David" w:hAnsi="David" w:cs="David"/>
          <w:b w:val="0"/>
          <w:i w:val="0"/>
          <w:sz w:val="24"/>
          <w:szCs w:val="24"/>
          <w:rtl w:val="1"/>
        </w:rPr>
        <w:t>בחרתי להעמיק במפגש שבין מגדר לבין מוגבלות, משום שזה החלק שהכי הפתיע אותי בקורס. הרעיון המרכזי הוא שאין כאן שני גורמי סיכון שמתחברים בפשטות, אלא הצטלבות שיוצרת פגיעוּת מסוג חדש. אישה עם מוגבלות חשופה גם לאלימות שמופנית כלפי נשים באשר הן, וגם לאלימות שמכוונת אל המוגבלות שלה, ולעיתים קרובות שתי הצורות שזורות זו בזו עד שאי אפשר להפריד ביניהן. זו נקודת המוצא שממנה יצאתי אל המקורות.</w:t>
      </w:r>
    </w:p>
    <w:p>
      <w:pPr>
        <w:bidi w:val="1"/>
        <w:spacing w:line="360" w:lineRule="auto" w:after="160"/>
        <w:jc w:val="both"/>
      </w:pPr>
      <w:r>
        <w:rPr>
          <w:rFonts w:ascii="David" w:hAnsi="David" w:cs="David"/>
          <w:b w:val="0"/>
          <w:i w:val="0"/>
          <w:sz w:val="24"/>
          <w:szCs w:val="24"/>
          <w:rtl w:val="1"/>
        </w:rPr>
        <w:t>הבחירה בנושא נשענת על השיעור שקרן הקדישה לפגיעוּת מגדרית. שם למדנו שנשים עם מוגבלות חשופות כמעט פי שניים לאלימות בהשוואה לנשים ללא מוגבלות, ושהמנגנון המרכזי שמעצים את הסיכון הוא תלות, כשמי שאמור לתמוך הוא לעיתים גם הפוגע. קרן הצביעה על שורה של גורמים שמעמיקים את הפגיעוּת, בהם בידוד חברתי, פחד לאבד תמיכה, מיעוט רשתות תמיכה, חוסר ידע על גבולות ועל זכויות, וסטיגמות שמראש מפקפקות בעדות של אישה עם מוגבלות. קרן גם הצביעה על נערות עם מוגבלות כקבוצה בסיכון גבוה עוד יותר, ועל בעיית המחסור בנתונים שמקשה לבנות מדיניות מותאמת. על הבסיס הזה, שנלמד בכיתה, אני מבקשת להעמיק בעזרת מחקרים שאינם בסילבוס.</w:t>
      </w:r>
    </w:p>
    <w:p>
      <w:pPr>
        <w:bidi w:val="1"/>
        <w:spacing w:line="360" w:lineRule="auto" w:after="160"/>
        <w:jc w:val="both"/>
      </w:pPr>
      <w:r>
        <w:rPr>
          <w:rFonts w:ascii="David" w:hAnsi="David" w:cs="David"/>
          <w:b w:val="0"/>
          <w:i w:val="0"/>
          <w:sz w:val="24"/>
          <w:szCs w:val="24"/>
          <w:rtl w:val="1"/>
        </w:rPr>
        <w:t>הבסיס העובדתי מוצק. סקירה שיטתית ומטא-אנליזה רחבה מצאו שמבוגרים עם מוגבלות נמצאים בסיכון גבוה משמעותית לאלימות בהשוואה למבוגרים ללא מוגבלות, ושאנשים עם מוגבלות נפשית עלולים להיות פגיעים במיוחד (Hughes et al., 2012). כלומר לא מדובר בתחושה אלא בתופעה מתועדת שחוזרת על עצמה במחקרים ובמדינות שונות. הנתון הזה נותן משקל למה שקרן הציגה בשיעור, ומונע ממנו להישאר ברמת האנקדוטה.</w:t>
      </w:r>
    </w:p>
    <w:p>
      <w:pPr>
        <w:bidi w:val="1"/>
        <w:spacing w:line="360" w:lineRule="auto" w:after="160"/>
        <w:jc w:val="both"/>
      </w:pPr>
      <w:r>
        <w:rPr>
          <w:rFonts w:ascii="David" w:hAnsi="David" w:cs="David"/>
          <w:b w:val="0"/>
          <w:i w:val="0"/>
          <w:sz w:val="24"/>
          <w:szCs w:val="24"/>
          <w:rtl w:val="1"/>
        </w:rPr>
        <w:t>סקירת ספרות שהתמקדה דווקא בנשים עם מוגבלות מוסיפה על כך שכבה חשובה. היא מראה שנשים עם מוגבלות חוות לא רק את צורות האלימות המוכרות, אלא גם פגיעות שמכוונות ישירות למוגבלות שלהן, כמו מניעת עזרים, שליטה בתרופות או ניצול התלות הפיזית. הכותבות מדגישות שהתלות במטפל, לצד חסמים בתקשורת ובנגישות, מקשה על הנשים לחשוף את הפגיעה ולקבל מענה, ולכן הפגיעה נמשכת לעיתים זמן רב (Plummer &amp; Findley, 2012). זהו בדיוק אותו מנגנון של תלות שקרן תיארה בשיעור, וכאן הוא מקבל ביסוס מחקרי מסודר.</w:t>
      </w:r>
    </w:p>
    <w:p>
      <w:pPr>
        <w:bidi w:val="1"/>
        <w:spacing w:line="360" w:lineRule="auto" w:after="160"/>
        <w:jc w:val="both"/>
      </w:pPr>
      <w:r>
        <w:rPr>
          <w:rFonts w:ascii="David" w:hAnsi="David" w:cs="David"/>
          <w:b w:val="0"/>
          <w:i w:val="0"/>
          <w:sz w:val="24"/>
          <w:szCs w:val="24"/>
          <w:rtl w:val="1"/>
        </w:rPr>
        <w:t>המנגנון הזה מסביר גם למה כל כך קשה להגיע אל הפגיעות האלה. כשהפוגע הוא גם מקור התמיכה, כל תלונה מאיימת על עצם הקיום היומיומי של האישה, מי יעזור לה לקום בבוקר, מי ילווה אותה, מי יישאר. לזה מתווספים בידוד חברתי, פחות רשתות תמיכה, ופחות חשיפה לידע על זכויות ועל מיניות. התוצאה היא שתיקה שקל לפרש בטעות כהיעדר בעיה, בעוד שהיא בעצם ביטוי מובהק של פער כוחות.</w:t>
      </w:r>
    </w:p>
    <w:p>
      <w:pPr>
        <w:bidi w:val="1"/>
        <w:spacing w:line="360" w:lineRule="auto" w:after="160"/>
        <w:jc w:val="both"/>
      </w:pPr>
      <w:r>
        <w:rPr>
          <w:rFonts w:ascii="David" w:hAnsi="David" w:cs="David"/>
          <w:b w:val="0"/>
          <w:i w:val="0"/>
          <w:sz w:val="24"/>
          <w:szCs w:val="24"/>
          <w:rtl w:val="1"/>
        </w:rPr>
        <w:t>אם אלה מקורות הסיכון, מהו כיוון המענה. סקירה שיטתית עדכנית שבחנה התערבויות למניעה ראשונית של אלימות כלפי נשים עם מוגבלות מצאה שהתחום עדיין דל ולא מפותח, ושרוב ההתערבויות הקיימות אינן מתמודדות עם השורשים של האלימות, כלומר עם ההצטלבות שבין תפיסות מפלות על רקע מוגבלות לבין תפיסות מגדריות. הכותבות מדגישות שהיעדר מבט מצטלב הוא כשל מרכזי, ושמניעה אמיתית מחייבת לפעול במעלה הזרם, על העמדות ועל יחסי הכוח, ולא רק להגיב אחרי שהפגיעה כבר קרתה (Sutherland et al., 2024). עבור נערות ונשים עם מוגבלות המשמעות היא שחיזוק הידע על גבולות, על מיניות ועל זכויות, לצד שינוי היחס החברתי אליהן, הוא בעצמו גורם מגן ולא מותרות. אישה שיודעת מה מותר ומה אסור, ושמאמינים לה כשהיא מספרת, קשה הרבה יותר לפגוע בה.</w:t>
      </w:r>
    </w:p>
    <w:p>
      <w:pPr>
        <w:bidi w:val="1"/>
        <w:spacing w:line="360" w:lineRule="auto" w:after="160"/>
        <w:jc w:val="both"/>
      </w:pPr>
      <w:r>
        <w:rPr>
          <w:rFonts w:ascii="David" w:hAnsi="David" w:cs="David"/>
          <w:b w:val="0"/>
          <w:i w:val="0"/>
          <w:sz w:val="24"/>
          <w:szCs w:val="24"/>
          <w:rtl w:val="1"/>
        </w:rPr>
        <w:t>המענה הזה מקבל ביטוי מוסדי גם בישראל. מחקר עדכני שבחן את יישום תיקון 18 לחוק הכשרות המשפטית מצא שלמרות הכוונה לצמצם את השימוש באפוטרופסות ולקדם קבלת החלטות נתמכת, נותר פער בין חזון הרפורמה לבין הפרקטיקה, ושעובדות סוציאליות עדיין נשענות על תפיסות של אבחון, רמת תפקוד ורצון בבואן להמליץ. עבור נשים עם מוגבלות למהלך הזה משמעות ישירה, משום שצמצום התלות המשפטית והחזרת הקול לאישה עצמה הם בדיוק מה שמפרק את מבנה הכוח שאיפשר את הפגיעה מלכתחילה (הולר וורנר, 2025).</w:t>
      </w:r>
    </w:p>
    <w:p>
      <w:pPr>
        <w:bidi w:val="1"/>
        <w:spacing w:line="360" w:lineRule="auto" w:after="160"/>
        <w:jc w:val="both"/>
      </w:pPr>
      <w:r>
        <w:rPr>
          <w:rFonts w:ascii="David" w:hAnsi="David" w:cs="David"/>
          <w:b w:val="0"/>
          <w:i w:val="0"/>
          <w:sz w:val="24"/>
          <w:szCs w:val="24"/>
          <w:rtl w:val="1"/>
        </w:rPr>
        <w:t>נדבך אחרון נוגע ליכולת שלנו לשמוע. גם השתיקה של אישה עם מוגבלות, או התנהגות שנתפסת כ"בעייתית", היא לעיתים האופן היחיד שבו היא מסמנת שמשהו אינו כשורה. מחקר עדכני שעסק בהתנהגויות מאתגרות בקרב ילדים עם אוטיזם הראה שהתנהגות היא לא פעם "קול", דרך תקשורת שמאותתת על מצוקה או על כאב שאין לו ביטוי מילולי, ולכן היא מזמינה פענוח ולא השתקה. העיקרון הזה חורג מעבר לאוטיזם, ותקף לכל מי שהקול המילולי שלו נחלש. לראות בהתנהגות ובשתיקה סימן ולא הפרעה הוא תנאי לזיהוי מוקדם של פגיעה (רודריגז ברנע, 2025).</w:t>
      </w:r>
    </w:p>
    <w:p>
      <w:pPr>
        <w:bidi w:val="1"/>
        <w:spacing w:line="360" w:lineRule="auto" w:after="160"/>
        <w:jc w:val="both"/>
      </w:pPr>
      <w:r>
        <w:rPr>
          <w:rFonts w:ascii="David" w:hAnsi="David" w:cs="David"/>
          <w:b w:val="0"/>
          <w:i w:val="0"/>
          <w:sz w:val="24"/>
          <w:szCs w:val="24"/>
          <w:rtl w:val="1"/>
        </w:rPr>
        <w:t>המסקנה שאני לוקחת היא שהגנה על נשים ונערות עם מוגבלות לא יכולה להסתכם בשמירה מבחוץ. שמירה לבדה משאירה אותן תלויות, ולעיתים תלויות דווקא במי שעלול לפגוע. מה שהקורס קרא לו שינוי פרדיגמה ליישום רגיש מגדר מקבל כאן תוכן ממשי, לחזק את הקול, את הידע ואת מעגלי התמיכה של האישה עצמה, כך שהיא לא רק מוגנת אלא גם מסוגלת להגן על עצמה. זו בעיניי החוליה שחסרה כשמדברים רק על מוגנות, והיא גם החוליה שהופכת את ההגנה למכבדת ולא למשתיקה.</w:t>
      </w:r>
    </w:p>
    <w:p>
      <w:r>
        <w:br w:type="page"/>
      </w:r>
    </w:p>
    <w:p>
      <w:pPr>
        <w:bidi w:val="1"/>
        <w:spacing w:line="360" w:lineRule="auto" w:after="200"/>
        <w:jc w:val="right"/>
      </w:pPr>
      <w:r>
        <w:rPr>
          <w:rFonts w:ascii="David" w:hAnsi="David" w:cs="David"/>
          <w:b/>
          <w:i w:val="0"/>
          <w:sz w:val="28"/>
          <w:szCs w:val="28"/>
          <w:rtl w:val="1"/>
        </w:rPr>
        <w:t>רשימת מקורות</w:t>
      </w:r>
    </w:p>
    <w:p>
      <w:pPr>
        <w:bidi w:val="1"/>
        <w:spacing w:line="360" w:lineRule="auto" w:after="200"/>
        <w:ind w:left="720" w:hanging="720"/>
        <w:jc w:val="both"/>
      </w:pPr>
      <w:r>
        <w:rPr>
          <w:rFonts w:ascii="David" w:hAnsi="David" w:cs="David"/>
          <w:b w:val="0"/>
          <w:i w:val="0"/>
          <w:sz w:val="24"/>
          <w:szCs w:val="24"/>
          <w:rtl w:val="1"/>
        </w:rPr>
        <w:t xml:space="preserve">הולר, ר', וורנר, ש' (2025). תפיסות ושיקולים של עובדות סוציאליות בתהליכי מינוי של אפוטרופסות וקבלת החלטות נתמכת בקרב אנשים עם מוגבלויות: המלצות להכשרה ולמדיניות. </w:t>
      </w:r>
      <w:r>
        <w:rPr>
          <w:rFonts w:ascii="David" w:hAnsi="David" w:cs="David"/>
          <w:b w:val="0"/>
          <w:i/>
          <w:sz w:val="24"/>
          <w:szCs w:val="24"/>
          <w:rtl w:val="1"/>
        </w:rPr>
        <w:t>ביטחון סוציאלי, 124</w:t>
      </w:r>
      <w:r>
        <w:rPr>
          <w:rFonts w:ascii="David" w:hAnsi="David" w:cs="David"/>
          <w:b w:val="0"/>
          <w:i w:val="0"/>
          <w:sz w:val="24"/>
          <w:szCs w:val="24"/>
          <w:rtl w:val="1"/>
        </w:rPr>
        <w:t>, 75-104.</w:t>
      </w:r>
      <w:r>
        <w:rPr>
          <w:rFonts w:ascii="David" w:hAnsi="David" w:cs="David"/>
          <w:b w:val="0"/>
          <w:i w:val="0"/>
          <w:sz w:val="24"/>
          <w:szCs w:val="24"/>
          <w:rtl w:val="1"/>
        </w:rPr>
        <w:t xml:space="preserve"> </w:t>
      </w:r>
      <w:hyperlink r:id="rId10">
        <w:r>
          <w:rPr>
            <w:rFonts w:ascii="David" w:hAnsi="David" w:cs="David"/>
            <w:sz w:val="24"/>
            <w:szCs w:val="24"/>
            <w:color w:val="0563C1"/>
            <w:u w:val="single"/>
            <w:rtl w:val="1"/>
          </w:rPr>
          <w:t xml:space="preserve">https://www.btl.gov.il/Publications/Social_Security/124/Documents/holer30.pdf</w:t>
        </w:r>
      </w:hyperlink>
    </w:p>
    <w:p>
      <w:pPr>
        <w:bidi w:val="1"/>
        <w:spacing w:line="360" w:lineRule="auto" w:after="200"/>
        <w:ind w:left="720" w:hanging="720"/>
        <w:jc w:val="both"/>
      </w:pPr>
      <w:r>
        <w:rPr>
          <w:rFonts w:ascii="David" w:hAnsi="David" w:cs="David"/>
          <w:b w:val="0"/>
          <w:i w:val="0"/>
          <w:sz w:val="24"/>
          <w:szCs w:val="24"/>
          <w:rtl w:val="1"/>
        </w:rPr>
        <w:t xml:space="preserve">רודריגז ברנע, ע' (2025). "התנהגות כקול": סקירת בעיות רפואיות נלוות המתבטאות בהתנהגויות מאתגרות בקרב ילדים עם אוטיזם וההתערבויות הטיפוליות. </w:t>
      </w:r>
      <w:r>
        <w:rPr>
          <w:rFonts w:ascii="David" w:hAnsi="David" w:cs="David"/>
          <w:b w:val="0"/>
          <w:i/>
          <w:sz w:val="24"/>
          <w:szCs w:val="24"/>
          <w:rtl w:val="1"/>
        </w:rPr>
        <w:t>מוגבלות וחברה: מחקר ופרקטיקה, 5</w:t>
      </w:r>
      <w:r>
        <w:rPr>
          <w:rFonts w:ascii="David" w:hAnsi="David" w:cs="David"/>
          <w:b w:val="0"/>
          <w:i w:val="0"/>
          <w:sz w:val="24"/>
          <w:szCs w:val="24"/>
          <w:rtl w:val="1"/>
        </w:rPr>
        <w:t>, 101-132.</w:t>
      </w:r>
      <w:r>
        <w:rPr>
          <w:rFonts w:ascii="David" w:hAnsi="David" w:cs="David"/>
          <w:b w:val="0"/>
          <w:i w:val="0"/>
          <w:sz w:val="24"/>
          <w:szCs w:val="24"/>
          <w:rtl w:val="1"/>
        </w:rPr>
        <w:t xml:space="preserve"> </w:t>
      </w:r>
      <w:hyperlink r:id="rId11">
        <w:r>
          <w:rPr>
            <w:rFonts w:ascii="David" w:hAnsi="David" w:cs="David"/>
            <w:sz w:val="24"/>
            <w:szCs w:val="24"/>
            <w:color w:val="0563C1"/>
            <w:u w:val="single"/>
            <w:rtl w:val="1"/>
          </w:rPr>
          <w:t xml:space="preserve">https://kb.beitissie.org.il/digital/%D7%9E%D7%95%D7%92%D7%91%D7%9C%D7%95%D7%AA-%D7%95%D7%97%D7%91%D7%A8%D7%94_%D7%9E%D7%94%D7%93%D7%95%D7%A8%D7%94-%D7%93%D7%99%D7%92%D7%99%D7%98%D7%9C%D7%99%D7%AA_%D7%92%D7%99%D7%9C%D7%99%D7%95%D7%9F-5/</w:t>
        </w:r>
      </w:hyperlink>
    </w:p>
    <w:p>
      <w:pPr>
        <w:bidi w:val="1"/>
        <w:spacing w:line="360" w:lineRule="auto" w:after="200"/>
        <w:ind w:left="720" w:hanging="720"/>
        <w:jc w:val="both"/>
      </w:pPr>
      <w:r>
        <w:rPr>
          <w:rFonts w:ascii="David" w:hAnsi="David" w:cs="David"/>
          <w:b w:val="0"/>
          <w:i w:val="0"/>
          <w:sz w:val="24"/>
          <w:szCs w:val="24"/>
          <w:rtl w:val="1"/>
        </w:rPr>
        <w:t xml:space="preserve">Hughes, K., Bellis, M. A., Jones, L., Wood, S., Bates, G., Eckley, L., … Officer, A. (2012). Prevalence and risk of violence against adults with disabilities: A systematic review and meta-analysis of observational studies. </w:t>
      </w:r>
      <w:r>
        <w:rPr>
          <w:rFonts w:ascii="David" w:hAnsi="David" w:cs="David"/>
          <w:b w:val="0"/>
          <w:i/>
          <w:sz w:val="24"/>
          <w:szCs w:val="24"/>
          <w:rtl w:val="1"/>
        </w:rPr>
        <w:t>The Lancet, 379</w:t>
      </w:r>
      <w:r>
        <w:rPr>
          <w:rFonts w:ascii="David" w:hAnsi="David" w:cs="David"/>
          <w:b w:val="0"/>
          <w:i w:val="0"/>
          <w:sz w:val="24"/>
          <w:szCs w:val="24"/>
          <w:rtl w:val="1"/>
        </w:rPr>
        <w:t>(9826), 1621-1629.</w:t>
      </w:r>
      <w:r>
        <w:rPr>
          <w:rFonts w:ascii="David" w:hAnsi="David" w:cs="David"/>
          <w:b w:val="0"/>
          <w:i w:val="0"/>
          <w:sz w:val="24"/>
          <w:szCs w:val="24"/>
          <w:rtl w:val="1"/>
        </w:rPr>
        <w:t xml:space="preserve"> </w:t>
      </w:r>
      <w:hyperlink r:id="rId12">
        <w:r>
          <w:rPr>
            <w:rFonts w:ascii="David" w:hAnsi="David" w:cs="David"/>
            <w:sz w:val="24"/>
            <w:szCs w:val="24"/>
            <w:color w:val="0563C1"/>
            <w:u w:val="single"/>
            <w:rtl w:val="1"/>
          </w:rPr>
          <w:t xml:space="preserve">https://doi.org/10.1016/S0140-6736(11)61851-5</w:t>
        </w:r>
      </w:hyperlink>
    </w:p>
    <w:p>
      <w:pPr>
        <w:bidi w:val="1"/>
        <w:spacing w:line="360" w:lineRule="auto" w:after="200"/>
        <w:ind w:left="720" w:hanging="720"/>
        <w:jc w:val="both"/>
      </w:pPr>
      <w:r>
        <w:rPr>
          <w:rFonts w:ascii="David" w:hAnsi="David" w:cs="David"/>
          <w:b w:val="0"/>
          <w:i w:val="0"/>
          <w:sz w:val="24"/>
          <w:szCs w:val="24"/>
          <w:rtl w:val="1"/>
        </w:rPr>
        <w:t xml:space="preserve">Plummer, S. B., &amp; Findley, P. A. (2012). Women with disabilities' experience with physical and sexual abuse: Review of the literature and implications for the field. </w:t>
      </w:r>
      <w:r>
        <w:rPr>
          <w:rFonts w:ascii="David" w:hAnsi="David" w:cs="David"/>
          <w:b w:val="0"/>
          <w:i/>
          <w:sz w:val="24"/>
          <w:szCs w:val="24"/>
          <w:rtl w:val="1"/>
        </w:rPr>
        <w:t>Trauma, Violence, &amp; Abuse, 13</w:t>
      </w:r>
      <w:r>
        <w:rPr>
          <w:rFonts w:ascii="David" w:hAnsi="David" w:cs="David"/>
          <w:b w:val="0"/>
          <w:i w:val="0"/>
          <w:sz w:val="24"/>
          <w:szCs w:val="24"/>
          <w:rtl w:val="1"/>
        </w:rPr>
        <w:t>(1), 15-29.</w:t>
      </w:r>
      <w:r>
        <w:rPr>
          <w:rFonts w:ascii="David" w:hAnsi="David" w:cs="David"/>
          <w:b w:val="0"/>
          <w:i w:val="0"/>
          <w:sz w:val="24"/>
          <w:szCs w:val="24"/>
          <w:rtl w:val="1"/>
        </w:rPr>
        <w:t xml:space="preserve"> </w:t>
      </w:r>
      <w:hyperlink r:id="rId13">
        <w:r>
          <w:rPr>
            <w:rFonts w:ascii="David" w:hAnsi="David" w:cs="David"/>
            <w:sz w:val="24"/>
            <w:szCs w:val="24"/>
            <w:color w:val="0563C1"/>
            <w:u w:val="single"/>
            <w:rtl w:val="1"/>
          </w:rPr>
          <w:t xml:space="preserve">https://doi.org/10.1177/1524838011426014</w:t>
        </w:r>
      </w:hyperlink>
    </w:p>
    <w:p>
      <w:pPr>
        <w:bidi w:val="1"/>
        <w:spacing w:line="360" w:lineRule="auto" w:after="200"/>
        <w:ind w:left="720" w:hanging="720"/>
        <w:jc w:val="both"/>
      </w:pPr>
      <w:r>
        <w:rPr>
          <w:rFonts w:ascii="David" w:hAnsi="David" w:cs="David"/>
          <w:b w:val="0"/>
          <w:i w:val="0"/>
          <w:sz w:val="24"/>
          <w:szCs w:val="24"/>
          <w:rtl w:val="1"/>
        </w:rPr>
        <w:t xml:space="preserve">Sutherland, G., Hargrave, J., Krnjacki, L., Llewellyn, G., Kavanagh, A., &amp; Vaughan, C. (2024). A systematic review of interventions addressing the primary prevention of violence against women with disability. </w:t>
      </w:r>
      <w:r>
        <w:rPr>
          <w:rFonts w:ascii="David" w:hAnsi="David" w:cs="David"/>
          <w:b w:val="0"/>
          <w:i/>
          <w:sz w:val="24"/>
          <w:szCs w:val="24"/>
          <w:rtl w:val="1"/>
        </w:rPr>
        <w:t>Trauma, Violence, &amp; Abuse, 25</w:t>
      </w:r>
      <w:r>
        <w:rPr>
          <w:rFonts w:ascii="David" w:hAnsi="David" w:cs="David"/>
          <w:b w:val="0"/>
          <w:i w:val="0"/>
          <w:sz w:val="24"/>
          <w:szCs w:val="24"/>
          <w:rtl w:val="1"/>
        </w:rPr>
        <w:t>(2), 1235-1247.</w:t>
      </w:r>
      <w:r>
        <w:rPr>
          <w:rFonts w:ascii="David" w:hAnsi="David" w:cs="David"/>
          <w:b w:val="0"/>
          <w:i w:val="0"/>
          <w:sz w:val="24"/>
          <w:szCs w:val="24"/>
          <w:rtl w:val="1"/>
        </w:rPr>
        <w:t xml:space="preserve"> </w:t>
      </w:r>
      <w:hyperlink r:id="rId14">
        <w:r>
          <w:rPr>
            <w:rFonts w:ascii="David" w:hAnsi="David" w:cs="David"/>
            <w:sz w:val="24"/>
            <w:szCs w:val="24"/>
            <w:color w:val="0563C1"/>
            <w:u w:val="single"/>
            <w:rtl w:val="1"/>
          </w:rPr>
          <w:t xml:space="preserve">https://doi.org/10.1177/15248380231175932</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cs="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hyperlink" Target="https://www.btl.gov.il/Publications/Social_Security/124/Documents/holer30.pdf" TargetMode="External"/><Relationship Id="rId11" Type="http://schemas.openxmlformats.org/officeDocument/2006/relationships/hyperlink" Target="https://kb.beitissie.org.il/digital/%D7%9E%D7%95%D7%92%D7%91%D7%9C%D7%95%D7%AA-%D7%95%D7%97%D7%91%D7%A8%D7%94_%D7%9E%D7%94%D7%93%D7%95%D7%A8%D7%94-%D7%93%D7%99%D7%92%D7%99%D7%98%D7%9C%D7%99%D7%AA_%D7%92%D7%99%D7%9C%D7%99%D7%95%D7%9F-5/" TargetMode="External"/><Relationship Id="rId12" Type="http://schemas.openxmlformats.org/officeDocument/2006/relationships/hyperlink" Target="https://doi.org/10.1016/S0140-6736(11)61851-5" TargetMode="External"/><Relationship Id="rId13" Type="http://schemas.openxmlformats.org/officeDocument/2006/relationships/hyperlink" Target="https://doi.org/10.1177/1524838011426014" TargetMode="External"/><Relationship Id="rId14" Type="http://schemas.openxmlformats.org/officeDocument/2006/relationships/hyperlink" Target="https://doi.org/10.1177/152483802311759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